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附錄 D　從皮尺到結論：論文完整統計流程白話說明</w:t>
      </w:r>
    </w:p>
    <w:p>
      <w:r>
        <w:rPr>
          <w:b/>
        </w:rPr>
        <w:t>第一層：田野量測與地面真值的建立</w:t>
      </w:r>
    </w:p>
    <w:p>
      <w:r>
        <w:rPr>
          <w:b w:val="0"/>
        </w:rPr>
        <w:t>研究從 32 棵樣本樹的實地量測開始。每棵樹在距離地面 1.3 公尺的高度（即胸高，Breast Height）用皮尺直接測量直徑，這個數值稱為</w:t>
      </w:r>
      <w:r>
        <w:rPr>
          <w:b/>
        </w:rPr>
        <w:t>胸高直徑（DBH，Diameter at Breast Height）</w:t>
      </w:r>
      <w:r>
        <w:rPr>
          <w:b w:val="0"/>
        </w:rPr>
        <w:t>。DBH 是整個統計分析的「地面真值（ground truth）」——它代表正確答案，後續所有 AI 估算的誤差都以它為基準計算。32 棵樣本樹共涵蓋 14 個樹種，且分布極不均勻，有些樹種只有 1–2 棵，這個特性在後期的 LMM 分析中至關重要。</w:t>
      </w:r>
    </w:p>
    <w:p>
      <w:r>
        <w:rPr>
          <w:b/>
        </w:rPr>
        <w:t>第二層：系統輸出——三條處理分支</w:t>
      </w:r>
    </w:p>
    <w:p>
      <w:r>
        <w:rPr>
          <w:b w:val="0"/>
        </w:rPr>
        <w:t>每支田野影片進入系統後，依照影像條件走三條不同路徑：</w:t>
      </w:r>
    </w:p>
    <w:p>
      <w:r>
        <w:rPr>
          <w:b/>
        </w:rPr>
        <w:t>Path 0</w:t>
      </w:r>
      <w:r>
        <w:rPr>
          <w:b w:val="0"/>
        </w:rPr>
        <w:t>：操作者在樹幹上人工架設量尺或刻度貼紙，Gemini Vision 用視覺辨識（功能類似光學字元辨識，OCR）從影片幀裡讀取量尺刻度數字，再透過群聚演算法（clusterByRelativeDiff）從多幀讀數中取最穩定的中位數，得出 DBH 估算值。「人工」指的是架設量尺的動作，讀數由 AI 完成。這條路徑因為有已知尺寸參照物輔助，通常精度最高，在論文裡扮演對照基準的角色。</w:t>
      </w:r>
    </w:p>
    <w:p>
      <w:r>
        <w:rPr>
          <w:b/>
        </w:rPr>
        <w:t>Path A</w:t>
      </w:r>
      <w:r>
        <w:rPr>
          <w:b w:val="0"/>
        </w:rPr>
        <w:t>：系統從畫面裡自動辨識已知尺寸的參照物（量尺、信用卡），用幾何比例換算出 DBH，不需要操作者手動架設。</w:t>
      </w:r>
    </w:p>
    <w:p>
      <w:r>
        <w:rPr>
          <w:b/>
        </w:rPr>
        <w:t>Path B</w:t>
      </w:r>
      <w:r>
        <w:rPr>
          <w:b w:val="0"/>
        </w:rPr>
        <w:t>：備援路徑，找不到任何參照物時啟動。系統先用 CLAHE（對比度限制自適應直方圖均衡化）增強影像對比度，再交給 AI 直接估算 DBH，最後套用</w:t>
      </w:r>
      <w:r>
        <w:rPr>
          <w:b/>
        </w:rPr>
        <w:t>修正因子（CF，Correction Factor）</w:t>
      </w:r>
      <w:r>
        <w:rPr>
          <w:b w:val="0"/>
        </w:rPr>
        <w:t>補償 AI 系統性低估的傾向。Path B 的 CF 機制是整個研究的核心。</w:t>
      </w:r>
    </w:p>
    <w:p>
      <w:r>
        <w:rPr>
          <w:b w:val="0"/>
        </w:rPr>
        <w:t>三條路徑最終輸出的都是「AI 估算 DBH」。每棵樹的估算值減去皮尺真值，得到</w:t>
      </w:r>
      <w:r>
        <w:rPr>
          <w:b/>
        </w:rPr>
        <w:t>絕對誤差（Absolute Error）</w:t>
      </w:r>
      <w:r>
        <w:rPr>
          <w:b w:val="0"/>
        </w:rPr>
        <w:t>，再除以皮尺真值、乘以 100，得到</w:t>
      </w:r>
      <w:r>
        <w:rPr>
          <w:b/>
        </w:rPr>
        <w:t>絕對百分比誤差（APE，Absolute Percentage Error）</w:t>
      </w:r>
      <w:r>
        <w:rPr>
          <w:b w:val="0"/>
        </w:rPr>
        <w:t>。APE 是後續所有精度統計的原始材料。</w:t>
      </w:r>
    </w:p>
    <w:p>
      <w:r>
        <w:rPr>
          <w:b/>
        </w:rPr>
        <w:t>第三層：五條統計流程——找出最佳前處理配置</w:t>
      </w:r>
    </w:p>
    <w:p>
      <w:r>
        <w:rPr>
          <w:b w:val="0"/>
        </w:rPr>
        <w:t xml:space="preserve">為了找出最佳的幀選取與前處理配置，同一批 </w:t>
      </w:r>
      <w:r>
        <w:rPr>
          <w:b/>
        </w:rPr>
        <w:t>31 棵有效樣本</w:t>
      </w:r>
      <w:r>
        <w:rPr>
          <w:b w:val="0"/>
        </w:rPr>
        <w:t>（第 32 棵因 AI 辨識失敗無估算值而排除）被送進五種不同處理流程（P1a、P1b、P2、P3、P4），比較各流程的整體精度。這五條流程不改變 Path 0/A/B 的演算法，只改變送給 AI 的幀如何選取、影像解析度是多少。</w:t>
      </w:r>
    </w:p>
    <w:p>
      <w:r>
        <w:rPr>
          <w:b w:val="0"/>
        </w:rPr>
        <w:t>精度以兩個指標衡量：</w:t>
      </w:r>
    </w:p>
    <w:p>
      <w:r>
        <w:rPr>
          <w:b/>
        </w:rPr>
        <w:t>MAE（Mean Absolute Error，平均絕對誤差）</w:t>
      </w:r>
      <w:r>
        <w:rPr>
          <w:b w:val="0"/>
        </w:rPr>
        <w:t>：31 棵樹絕對誤差的算術平均值，單位是公分。目的是直接反映「平均差了幾公分」，和真實距離有直覺連結。</w:t>
      </w:r>
    </w:p>
    <w:p>
      <w:r>
        <w:rPr>
          <w:b/>
        </w:rPr>
        <w:t>MAPE（Mean Absolute Percentage Error，平均絕對百分比誤差）</w:t>
      </w:r>
      <w:r>
        <w:rPr>
          <w:b w:val="0"/>
        </w:rPr>
        <w:t>：31 棵樹 APE 的算術平均值，用百分比表示。目的是讓不同體型、不同樹種的誤差可以放在同一把尺上比較——20 公分的樹差 2 公分和 80 公分的樹差 2 公分，APE 不同，才能公平反映系統表現。P4 生產系統最終達到 MAPE = 15.6%，是五條流程中最低的，確定為最終部署配置。</w:t>
      </w:r>
    </w:p>
    <w:p>
      <w:r>
        <w:rPr>
          <w:b/>
        </w:rPr>
        <w:t>第四層：Bootstrap 重採樣——讓精度數字更可信</w:t>
      </w:r>
    </w:p>
    <w:p>
      <w:r>
        <w:rPr>
          <w:b w:val="0"/>
        </w:rPr>
        <w:t xml:space="preserve">MAPE = 15.6% 只是一個點估計，代表「用這 31 棵樣本算出來的結果」。如果換一批樣本，結果會不會差很多？這個問題靠 </w:t>
      </w:r>
      <w:r>
        <w:rPr>
          <w:b/>
        </w:rPr>
        <w:t>Bootstrap 重採樣（Bootstrap Resampling）</w:t>
      </w:r>
      <w:r>
        <w:rPr>
          <w:b w:val="0"/>
        </w:rPr>
        <w:t xml:space="preserve"> 回答。</w:t>
      </w:r>
    </w:p>
    <w:p>
      <w:r>
        <w:rPr>
          <w:b w:val="0"/>
        </w:rPr>
        <w:t xml:space="preserve">具體做法：從 31 棵有效樣本裡「有放回抽樣（sampling with replacement）」，也就是每次抽完一棵放回去再抽，因此同一棵樹可能被抽到兩三次，另一棵一次都沒被選到——每次抽出的是一組不同的 31 棵。抽完後計算一次 MAPE，記錄這個值，重複 </w:t>
      </w:r>
      <w:r>
        <w:rPr>
          <w:b/>
        </w:rPr>
        <w:t>10,000 次</w:t>
      </w:r>
      <w:r>
        <w:rPr>
          <w:b w:val="0"/>
        </w:rPr>
        <w:t>。重複這麼多次的目的是讓結果分布夠穩定，信賴區間的邊界不會因為次數太少而飄移。</w:t>
      </w:r>
    </w:p>
    <w:p>
      <w:r>
        <w:rPr>
          <w:b w:val="0"/>
        </w:rPr>
        <w:t xml:space="preserve">10,000 個 MAPE 值排序後，取第 250 個（第 2.5 百分位）和第 9,750 個（第 97.5 百分位），就是 </w:t>
      </w:r>
      <w:r>
        <w:rPr>
          <w:b/>
        </w:rPr>
        <w:t>Bootstrap 95% 信賴區間（CI，Confidence Interval）</w:t>
      </w:r>
      <w:r>
        <w:rPr>
          <w:b w:val="0"/>
        </w:rPr>
        <w:t xml:space="preserve"> 的下界和上界。95% CI 的意義是：若在相同條件下重複 100 次田野量測並計算 MAPE，約 95 次的結果會落在這個區間內。Bootstrap CI 讓精度報告從「一個數字」升級為「一個有可靠度保證的區間」。同樣的做法也對 MAE 執行一遍。</w:t>
      </w:r>
    </w:p>
    <w:p>
      <w:r>
        <w:rPr>
          <w:b/>
        </w:rPr>
        <w:t>第五層：Verra 合規驗算——滿足碳權標準的 90% CI</w:t>
      </w:r>
    </w:p>
    <w:p>
      <w:r>
        <w:rPr>
          <w:b w:val="0"/>
        </w:rPr>
        <w:t xml:space="preserve">除了學術精度報告，系統還需要通過 Verra VM0047 §8.5 的碳權合規門檻。Verra 規定以 </w:t>
      </w:r>
      <w:r>
        <w:rPr>
          <w:b/>
        </w:rPr>
        <w:t>90% CI</w:t>
      </w:r>
      <w:r>
        <w:rPr>
          <w:b w:val="0"/>
        </w:rPr>
        <w:t>（而非學術慣例的 95% CI）進行驗算，兩者信賴水準不同，各有各的出處，不是矛盾。</w:t>
      </w:r>
    </w:p>
    <w:p>
      <w:r>
        <w:rPr>
          <w:b w:val="0"/>
        </w:rPr>
        <w:t>Verra 的計算邏輯是「半寬佔均值比率」：把 90% CI 的上界減下界除以 2，得到半寬；再把半寬除以均值，換算成百分比。Verra VM0047 §8.5 對碳權核發之唯一量化門檻，是要求這個比率低於 100%（即半寬不得超過均值本身）。本專案另自訂一個遠比 Verra 更嚴格的內部精度目標——把這個比率壓在 8% 以內——以確保量測的不確定範圍極小、可作為高可信度的碳儲量基礎；此 8% 為本專案自訂之內部目標，並非 Verra 條文。</w:t>
      </w:r>
      <w:r>
        <w:rPr>
          <w:b/>
        </w:rPr>
      </w:r>
      <w:r>
        <w:rPr>
          <w:b w:val="0"/>
        </w:rPr>
      </w:r>
      <w:r>
        <w:rPr>
          <w:b/>
        </w:rPr>
      </w:r>
      <w:r>
        <w:rPr>
          <w:b w:val="0"/>
        </w:rPr>
      </w:r>
    </w:p>
    <w:p>
      <w:r>
        <w:rPr>
          <w:b w:val="0"/>
        </w:rPr>
        <w:t>研究結果：DBH 層級 6.3%，遠低於 Verra §8.5 的 100% 核發門檻，通過 Verra 合規驗算；同時也低於本專案自訂的 8% 內部精度目標。</w:t>
      </w:r>
      <w:r>
        <w:rPr>
          <w:b/>
        </w:rPr>
      </w:r>
      <w:r>
        <w:rPr>
          <w:b w:val="0"/>
        </w:rPr>
      </w:r>
    </w:p>
    <w:p>
      <w:r>
        <w:rPr>
          <w:b/>
        </w:rPr>
        <w:t>第六層：動態 CF 與靜態 CF 的定義與分工</w:t>
      </w:r>
    </w:p>
    <w:p>
      <w:r>
        <w:rPr>
          <w:b w:val="0"/>
        </w:rPr>
        <w:t>在進入後續實驗之前，先說清楚 CF 的形態。</w:t>
      </w:r>
    </w:p>
    <w:p>
      <w:r>
        <w:rPr>
          <w:b w:val="0"/>
        </w:rPr>
        <w:t>生產系統使用的是</w:t>
      </w:r>
      <w:r>
        <w:rPr>
          <w:b/>
        </w:rPr>
        <w:t>動態自演進 CF</w:t>
      </w:r>
      <w:r>
        <w:rPr>
          <w:b w:val="0"/>
        </w:rPr>
        <w:t>——每個樹種各自維護一個 CF，每新增一筆田野量測就重新計算，不斷校準，不同樹種之間的 CF 數值是獨立的。這是系統真實運作的狀態，最終加權平均約 ×1.155。</w:t>
      </w:r>
    </w:p>
    <w:p>
      <w:r>
        <w:rPr>
          <w:b/>
        </w:rPr>
        <w:t>靜態全域 CF</w:t>
      </w:r>
      <w:r>
        <w:rPr>
          <w:b w:val="0"/>
        </w:rPr>
        <w:t xml:space="preserve"> 是「如果當初用比較簡單的方法——所有樹種共用同一個固定乘數——結果會怎樣」這個假設問題的答案。它不進入生產系統，只用於後續比較實驗。</w:t>
      </w:r>
    </w:p>
    <w:p>
      <w:r>
        <w:rPr>
          <w:b/>
        </w:rPr>
        <w:t>第七層：LOOCV——建立靜態 CF 的客觀基準</w:t>
      </w:r>
    </w:p>
    <w:p>
      <w:r>
        <w:rPr>
          <w:b w:val="0"/>
        </w:rPr>
        <w:t xml:space="preserve">要做比較實驗，必須先算出靜態全域 CF 的客觀估計值。研究使用 </w:t>
      </w:r>
      <w:r>
        <w:rPr>
          <w:b/>
        </w:rPr>
        <w:t>LOOCV（Leave-One-Out Cross-Validation，逐一剔除交叉驗證）</w:t>
      </w:r>
      <w:r>
        <w:rPr>
          <w:b w:val="0"/>
        </w:rPr>
        <w:t xml:space="preserve"> 計算：每次剔除第 i 棵樹，用剩下 30 棵算出一個靜態 CF，再把這個 CF 套回第 i 棵的預測誤差，記錄結果，重複 31 次取平均。排除離群值後，靜態全域 CF ≈ </w:t>
      </w:r>
      <w:r>
        <w:rPr>
          <w:b/>
        </w:rPr>
        <w:t>×1.10</w:t>
      </w:r>
      <w:r>
        <w:rPr>
          <w:b w:val="0"/>
        </w:rPr>
        <w:t>。這個數字只是後續實驗的輸入材料，不代表系統要改用這個值。</w:t>
      </w:r>
    </w:p>
    <w:p>
      <w:r>
        <w:rPr>
          <w:b/>
        </w:rPr>
        <w:t>第八層：CF 敏感度掃描——動態 CF 之後，還需要疊加靜態補丁嗎</w:t>
      </w:r>
    </w:p>
    <w:p>
      <w:r>
        <w:rPr>
          <w:b w:val="0"/>
        </w:rPr>
        <w:t>研究者有一個問題：</w:t>
      </w:r>
      <w:r>
        <w:rPr>
          <w:b/>
        </w:rPr>
        <w:t>動態 CF 跑完之後，如果再疊加一個全域靜態乘數，會讓結果更好嗎？</w:t>
      </w:r>
    </w:p>
    <w:p>
      <w:r>
        <w:rPr>
          <w:b w:val="0"/>
        </w:rPr>
        <w:t>這裡的計算結構是：</w:t>
      </w:r>
    </w:p>
    <w:p>
      <w:r>
        <w:rPr>
          <w:rFonts w:ascii="Consolas" w:hAnsi="Consolas"/>
        </w:rPr>
        <w:t>最終 DBH = AI 原始輸出 × 動態 CF × 額外靜態乘數</w:t>
      </w:r>
    </w:p>
    <w:p>
      <w:r>
        <w:rPr>
          <w:b w:val="0"/>
        </w:rPr>
        <w:t>當額外靜態乘數 = ×1.00，等於不加任何靜態補丁，最終值就是動態 CF 的結果；當乘數 = ×1.10，代表在動態 CF 校準完之後再統一往上推 10%。</w:t>
      </w:r>
    </w:p>
    <w:p>
      <w:r>
        <w:rPr>
          <w:b w:val="0"/>
        </w:rPr>
        <w:t>掃描把這個額外乘數從 ×1.00 掃到 ×1.20（步長 0.025），每個值分別計算通過率（Pass Rate）——即 APE ≤ 25% 的棵數佔比。此 25% 門檻的來源是 Hevner 系統設計準則三的實用效益評估門檻：準則三要求系統提供可評估的實用效益，本專案以「APE ≤ 25% 的棵數佔比」量化系統精度。此 25% 為本專案自訂之精度目標，並非 Verra VM0047 條文；論文以此作為通過與否的判斷標準。</w:t>
      </w:r>
      <w:r>
        <w:rPr>
          <w:b/>
        </w:rPr>
      </w:r>
      <w:r>
        <w:rPr>
          <w:b w:val="0"/>
        </w:rPr>
      </w:r>
    </w:p>
    <w:p>
      <w:r>
        <w:rPr>
          <w:b w:val="0"/>
        </w:rPr>
        <w:t xml:space="preserve">掃描結果顯示 </w:t>
      </w:r>
      <w:r>
        <w:rPr>
          <w:b/>
        </w:rPr>
        <w:t>CF = ×1.00 時通過率最高（74.2%，23/31 棵）</w:t>
      </w:r>
      <w:r>
        <w:rPr>
          <w:b w:val="0"/>
        </w:rPr>
        <w:t>，也就是「不加任何靜態補丁」是最好的選擇。動態 CF 已經把偏差校準完畢，再疊加靜態層只會把原本校準好的結果推偏。</w:t>
      </w:r>
    </w:p>
    <w:p>
      <w:r>
        <w:rPr>
          <w:b/>
        </w:rPr>
        <w:t>第九層：LMM——靜態 CF 如果取代動態 CF，偏差會差多少</w:t>
      </w:r>
    </w:p>
    <w:p>
      <w:r>
        <w:rPr>
          <w:b w:val="0"/>
        </w:rPr>
        <w:t>敏感度掃描回答的是「疊加」的問題；LMM 回答的是「取代」的問題——如果整個系統捨棄動態 CF、改用靜態全域 CF ×1.10，排除樹種干擾後，偏差平均會變差多少？</w:t>
      </w:r>
    </w:p>
    <w:p>
      <w:r>
        <w:rPr>
          <w:b w:val="0"/>
        </w:rPr>
        <w:t xml:space="preserve">直接比較兩種條件下的整體 MAPE 行不通，因為 14 個樹種分布不均勻，高估傾向的樹種如果恰好樣本多，就會把整體平均拉偏。解決方法是用 </w:t>
      </w:r>
      <w:r>
        <w:rPr>
          <w:b/>
        </w:rPr>
        <w:t>LMM（Linear Mixed Model，線性混合模型）</w:t>
      </w:r>
      <w:r>
        <w:rPr>
          <w:b w:val="0"/>
        </w:rPr>
        <w:t xml:space="preserve">，透過 Python 的 statsmodels MixedLM 模組，以 </w:t>
      </w:r>
      <w:r>
        <w:rPr>
          <w:b/>
        </w:rPr>
        <w:t>REML（Restricted Maximum Likelihood，限制最大概似估計）</w:t>
      </w:r>
      <w:r>
        <w:rPr>
          <w:b w:val="0"/>
        </w:rPr>
        <w:t xml:space="preserve"> 方法求解。選用 REML 而非普通最大概似估計（MLE），是因為 REML 對隨機效應的變異數估計更不偏，在只有 31 棵樣本的情況下這點特別重要。</w:t>
      </w:r>
    </w:p>
    <w:p>
      <w:r>
        <w:rPr>
          <w:b w:val="0"/>
        </w:rPr>
        <w:t>LMM 把「樹種」設定為</w:t>
      </w:r>
      <w:r>
        <w:rPr>
          <w:b/>
        </w:rPr>
        <w:t>隨機效應（Random Effect）</w:t>
      </w:r>
      <w:r>
        <w:rPr>
          <w:b w:val="0"/>
        </w:rPr>
        <w:t>，讓每個樹種有自己的偏差基準線（截距，intercept），自動把各樹種先天偏高或偏低的傾向從總誤差裡分離出去。吸收完樹種差異之後，再用</w:t>
      </w:r>
      <w:r>
        <w:rPr>
          <w:b/>
        </w:rPr>
        <w:t>固定效應（Fixed Effect）</w:t>
      </w:r>
      <w:r>
        <w:rPr>
          <w:b w:val="0"/>
        </w:rPr>
        <w:t xml:space="preserve">的 </w:t>
      </w:r>
      <w:r>
        <w:rPr>
          <w:b/>
        </w:rPr>
        <w:t>β₁（唸 "beta one"）</w:t>
      </w:r>
      <w:r>
        <w:rPr>
          <w:b w:val="0"/>
        </w:rPr>
        <w:t xml:space="preserve"> 測量「改用靜態 CF 這個動作本身，在排除樹種影響後，平均讓偏差變動幾公分」。</w:t>
      </w:r>
    </w:p>
    <w:p>
      <w:r>
        <w:rPr>
          <w:b w:val="0"/>
        </w:rPr>
        <w:t xml:space="preserve">β₁ = </w:t>
      </w:r>
      <w:r>
        <w:rPr>
          <w:b/>
        </w:rPr>
        <w:t>+2.91 cm</w:t>
      </w:r>
      <w:r>
        <w:rPr>
          <w:b w:val="0"/>
        </w:rPr>
        <w:t xml:space="preserve"> 算出後，用 </w:t>
      </w:r>
      <w:r>
        <w:rPr>
          <w:b/>
        </w:rPr>
        <w:t>p 值（p-value）</w:t>
      </w:r>
      <w:r>
        <w:rPr>
          <w:b w:val="0"/>
        </w:rPr>
        <w:t xml:space="preserve"> 判斷這個結果是否可信：虛無假說（H₀）是「改用靜態 CF 對偏差沒有影響，β₁ = 0」。</w:t>
      </w:r>
      <w:r>
        <w:rPr>
          <w:b/>
        </w:rPr>
        <w:t>p = 0.004</w:t>
      </w:r>
      <w:r>
        <w:rPr>
          <w:b w:val="0"/>
        </w:rPr>
        <w:t xml:space="preserve"> 代表：如果 H₀ 成立，隨機抽樣卻觀察到「β₁ ≥ +2.91 cm」的機率只有 0.4%。慣例顯著性門檻是 p &lt; 0.05，p = 0.004 遠低於這個門檻，H₀ 被拒絕。</w:t>
      </w:r>
    </w:p>
    <w:p>
      <w:r>
        <w:rPr>
          <w:b w:val="0"/>
        </w:rPr>
        <w:t>白話：統計上幾乎可以確定，改用靜態 CF 確實讓偏差顯著增加了將近 3 公分，這不是隨機誤差，是真實的系統性惡化。</w:t>
      </w:r>
    </w:p>
    <w:p>
      <w:r>
        <w:rPr>
          <w:b/>
        </w:rPr>
        <w:t>第十層：ICC——確認動態機制在各樹種均勻有效，並說明限制</w:t>
      </w:r>
    </w:p>
    <w:p>
      <w:r>
        <w:rPr>
          <w:b w:val="0"/>
        </w:rPr>
        <w:t>LMM 擬合完成後，模型同時輸出兩個變異數估計值：</w:t>
      </w:r>
      <w:r>
        <w:rPr>
          <w:b/>
        </w:rPr>
        <w:t>τ²（tau squared，組間變異數）</w:t>
      </w:r>
      <w:r>
        <w:rPr>
          <w:b w:val="0"/>
        </w:rPr>
        <w:t>代表樹種層級能解釋的誤差變異量；</w:t>
      </w:r>
      <w:r>
        <w:rPr>
          <w:b/>
        </w:rPr>
        <w:t>σ²（sigma squared，組內殘差變異數）</w:t>
      </w:r>
      <w:r>
        <w:rPr>
          <w:b w:val="0"/>
        </w:rPr>
        <w:t>代表樹種內部剩餘的個體隨機變異量。兩者組合成</w:t>
      </w:r>
      <w:r>
        <w:rPr>
          <w:b/>
        </w:rPr>
        <w:t>組內相關係數（ICC，Intraclass Correlation Coefficient）</w:t>
      </w:r>
      <w:r>
        <w:rPr>
          <w:b w:val="0"/>
        </w:rPr>
        <w:t>：</w:t>
      </w:r>
    </w:p>
    <w:p>
      <w:r>
        <w:rPr>
          <w:rFonts w:ascii="Consolas" w:hAnsi="Consolas"/>
        </w:rPr>
        <w:t>ICC = τ² / (τ² + σ²)</w:t>
      </w:r>
    </w:p>
    <w:p>
      <w:r>
        <w:rPr>
          <w:b w:val="0"/>
        </w:rPr>
        <w:t>ICC 介於 0 到 1。越接近 1，代表「樟樹系統性高估、竹子系統性低估」這類樹種層面的規律仍然存在；越接近 0，代表樹種分組幾乎解釋不了任何東西，各樹種的殘差結構趨近相同。</w:t>
      </w:r>
    </w:p>
    <w:p>
      <w:r>
        <w:rPr>
          <w:b w:val="0"/>
        </w:rPr>
        <w:t xml:space="preserve">動態 CF 校準完成後，各樹種殘差都趨近零，τ² 也趨近零，代入公式得 ICC = </w:t>
      </w:r>
      <w:r>
        <w:rPr>
          <w:b/>
        </w:rPr>
        <w:t>0.000</w:t>
      </w:r>
      <w:r>
        <w:rPr>
          <w:b w:val="0"/>
        </w:rPr>
        <w:t>。</w:t>
      </w:r>
    </w:p>
    <w:p>
      <w:r>
        <w:rPr>
          <w:b w:val="0"/>
        </w:rPr>
        <w:t>白話：模型試圖用「樹種」解釋剩餘誤差，但完全解釋不了——動態 CF 已經把每個樹種的偏差分別校準到接近零，剩下的誤差是每棵樹各自的個體隨機波動，不再有任何樹種層面的系統性盲點。</w:t>
      </w:r>
    </w:p>
    <w:p>
      <w:r>
        <w:rPr>
          <w:b w:val="0"/>
        </w:rPr>
        <w:t>統計盲點說明：ICC = 0.000 有兩種解讀。主要解讀是動態 CF 機制均勻有效；但同時也存在一個小樣本的替代解釋——31 棵樣本分散在 14 個樹種，部分樹種只有 1–2 棵代表，REML 在組內樣本極少的情況下，τ² 本來就容易估算趨近於零，不一定完全反映真實的組間差異。論文結果將 ICC = 0.000 解讀為動態機制成功的間接證明，但在樣本數限制下，這個結論的統計強度受到一定程度的制約。</w:t>
      </w:r>
    </w:p>
    <w:p>
      <w:r>
        <w:rPr>
          <w:b/>
        </w:rPr>
        <w:t>第十一層：通過率與 Hevner 準則三</w:t>
      </w:r>
    </w:p>
    <w:p>
      <w:r>
        <w:rPr>
          <w:b/>
        </w:rPr>
        <w:t>通過率（Pass Rate）</w:t>
      </w:r>
      <w:r>
        <w:rPr>
          <w:b w:val="0"/>
        </w:rPr>
        <w:t>除了作為敏感度掃描的評估指標，也是 Hevner 系統設計準則三的核心評估數字。準則三要求系統提供「可評估的實用效益」，論文以「APE ≤ 25% 的棵數佔比 = 74.2%（23/31）」量化系統的實際應用精度。這個 25% 門檻同時符合 Verra VM0047 的規範要求，兩個框架下的評估標準合而為一。</w:t>
      </w:r>
    </w:p>
    <w:p>
      <w:r>
        <w:rPr>
          <w:b/>
        </w:rPr>
        <w:t>結論的完整邏輯鏈</w:t>
      </w:r>
    </w:p>
    <w:p>
      <w:r>
        <w:rPr>
          <w:b w:val="0"/>
        </w:rPr>
        <w:t>六個統計結果串在一起，形成一條完整的論證鏈：MAPE = 15.6% 加上 Bootstrap 95% CI 說明精度數字穩健可信；Verra 90% CI 半寬佔均值比率（DBH 6.3%）遠低於 Verra §8.5 的 100% 核發門檻、說明通過碳權合規門檻，同時也低於本專案自訂的 8% 內部精度目標；敏感度掃描確認動態 CF 之後不需要任何靜態補丁（最優額外乘數 = ×1.00）；β₁ = +2.91 cm（p = 0.004）說明如果用靜態 CF 取代動態 CF，偏差顯著惡化；ICC = 0.000 說明動態 CF 在 14 個樹種之間均勻有效，但受小樣本限制，τ² 的估計本身帶有一定不確定性，需要在解讀上保持審慎。</w:t>
      </w:r>
    </w:p>
    <w:p>
      <w:r>
        <w:rPr>
          <w:b w:val="0"/>
        </w:rPr>
        <w:t>五者合力支撐論文的核心結論：動態自演進 CF 機制不需要靜態補丁輔助，也不應被靜態固定值取代，自己就足以在多樹種、樣本分布不均勻的真實田野環境下完成有效校準，且結果符合 Verra 國際碳權標準。</w:t>
      </w:r>
    </w:p>
    <w:sectPr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updateFields w:val="true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 w:ascii="Times New Roman" w:hAnsi="Times New Roman" w:eastAsia="標楷體" w:cs="標楷體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標楷體" w:cs="標楷體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Times New Roman" w:hAnsi="Times New Roman" w:eastAsia="標楷體" w:cs="標楷體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Times New Roman" w:hAnsi="Times New Roman" w:eastAsia="標楷體" w:cs="標楷體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標楷體" w:cs="標楷體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Times New Roman" w:hAnsi="Times New Roman" w:eastAsia="標楷體" w:cs="標楷體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Times New Roman" w:hAnsi="Times New Roman" w:eastAsia="標楷體" w:cs="標楷體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hAnsi="Times New Roman" w:eastAsia="標楷體" w:cs="標楷體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hAnsi="Times New Roman" w:eastAsia="標楷體" w:cs="標楷體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Times New Roman" w:hAnsi="Times New Roman" w:eastAsia="標楷體" w:cs="標楷體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Times New Roman" w:hAnsi="Times New Roman" w:eastAsia="標楷體" w:cs="標楷體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Times New Roman" w:hAnsi="Times New Roman" w:eastAsia="標楷體" w:cs="標楷體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Times New Roman" w:hAnsi="Times New Roman" w:eastAsia="標楷體" w:cs="標楷體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Times New Roman" w:hAnsi="Times New Roman" w:eastAsia="標楷體" w:cs="標楷體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Times New Roman" w:hAnsi="Times New Roman" w:eastAsia="標楷體" w:cs="標楷體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Times New Roman" w:hAnsi="Times New Roman" w:eastAsia="標楷體" w:cs="標楷體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Times New Roman" w:hAnsi="Times New Roman" w:eastAsia="標楷體" w:cs="標楷體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Times New Roman" w:hAnsi="Times New Roman" w:eastAsia="標楷體" w:cs="標楷體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uiPriority w:val="39"/>
    <w:semiHidden/>
    <w:unhideWhenUsed/>
    <w:pPr>
      <w:spacing w:after="0"/>
      <w:tabs>
        <w:tab w:val="right" w:leader="dot" w:pos="9360"/>
      </w:tabs>
    </w:pPr>
    <w:rPr>
      <w:rFonts w:ascii="Times New Roman" w:hAnsi="Times New Roman" w:eastAsia="標楷體" w:cs="標楷體"/>
      <w:sz w:val="24"/>
      <w:szCs w:val="24"/>
    </w:rPr>
  </w:style>
  <w:style w:type="paragraph" w:styleId="TOC2">
    <w:name w:val="toc 2"/>
    <w:basedOn w:val="Normal"/>
    <w:next w:val="Normal"/>
    <w:uiPriority w:val="39"/>
    <w:semiHidden/>
    <w:unhideWhenUsed/>
    <w:pPr>
      <w:spacing w:after="0"/>
      <w:ind w:left="240"/>
      <w:tabs>
        <w:tab w:val="right" w:leader="dot" w:pos="9360"/>
      </w:tabs>
    </w:pPr>
    <w:rPr>
      <w:rFonts w:ascii="Times New Roman" w:hAnsi="Times New Roman" w:eastAsia="標楷體" w:cs="標楷體"/>
      <w:sz w:val="22"/>
      <w:szCs w:val="22"/>
    </w:rPr>
  </w:style>
  <w:style w:type="paragraph" w:styleId="TOC3">
    <w:name w:val="toc 3"/>
    <w:basedOn w:val="Normal"/>
    <w:next w:val="Normal"/>
    <w:uiPriority w:val="39"/>
    <w:semiHidden/>
    <w:unhideWhenUsed/>
    <w:pPr>
      <w:spacing w:after="0"/>
      <w:ind w:left="480"/>
      <w:tabs>
        <w:tab w:val="right" w:leader="dot" w:pos="9360"/>
      </w:tabs>
    </w:pPr>
    <w:rPr>
      <w:rFonts w:ascii="Times New Roman" w:hAnsi="Times New Roman" w:eastAsia="標楷體" w:cs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 w:ascii="Times New Roman" w:hAnsi="Times New Roman" w:eastAsia="標楷體" w:cs="標楷體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Times New Roman" w:hAnsi="Times New Roman" w:eastAsia="標楷體" w:cs="標楷體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Times New Roman" w:hAnsi="Times New Roman" w:eastAsia="標楷體" w:cs="標楷體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Times New Roman" w:hAnsi="Times New Roman" w:eastAsia="標楷體" w:cs="標楷體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標楷體" w:cs="標楷體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Times New Roman" w:hAnsi="Times New Roman" w:eastAsia="標楷體" w:cs="標楷體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Times New Roman" w:hAnsi="Times New Roman" w:eastAsia="標楷體" w:cs="標楷體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hAnsi="Times New Roman" w:eastAsia="標楷體" w:cs="標楷體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Times New Roman" w:hAnsi="Times New Roman" w:eastAsia="標楷體" w:cs="標楷體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Times New Roman" w:hAnsi="Times New Roman" w:eastAsia="標楷體" w:cs="標楷體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Times New Roman" w:hAnsi="Times New Roman" w:eastAsia="標楷體" w:cs="標楷體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Times New Roman" w:hAnsi="Times New Roman" w:eastAsia="標楷體" w:cs="標楷體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Times New Roman" w:hAnsi="Times New Roman" w:eastAsia="標楷體" w:cs="標楷體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Times New Roman" w:hAnsi="Times New Roman" w:eastAsia="標楷體" w:cs="標楷體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Times New Roman" w:hAnsi="Times New Roman" w:eastAsia="標楷體" w:cs="標楷體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Times New Roman" w:hAnsi="Times New Roman" w:eastAsia="標楷體" w:cs="標楷體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Times New Roman" w:hAnsi="Times New Roman" w:eastAsia="標楷體" w:cs="標楷體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Times New Roman" w:hAnsi="Times New Roman" w:eastAsia="標楷體" w:cs="標楷體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Times New Roman" w:hAnsi="Times New Roman" w:eastAsia="標楷體" w:cs="標楷體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Times New Roman" w:hAnsi="Times New Roman" w:eastAsia="標楷體" w:cs="標楷體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Times New Roman" w:hAnsi="Times New Roman" w:eastAsia="標楷體" w:cs="標楷體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</w:tblStylePr>
    <w:tblStylePr w:type="lastCol">
      <w:rPr>
        <w:rFonts w:asciiTheme="majorHAnsi" w:eastAsiaTheme="majorEastAsia" w:hAnsiTheme="majorHAnsi" w:cstheme="majorBidi"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rFonts w:ascii="Times New Roman" w:hAnsi="Times New Roman" w:eastAsia="標楷體" w:cs="標楷體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ascii="Times New Roman" w:hAnsi="Times New Roman" w:eastAsia="標楷體" w:cs="標楷體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rFonts w:ascii="Times New Roman" w:hAnsi="Times New Roman" w:eastAsia="標楷體" w:cs="標楷體"/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eastAsia="標楷體" w:cs="標楷體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</w:rPr>
    </w:tblStylePr>
    <w:tblStylePr w:type="lastRow">
      <w:rPr>
        <w:rFonts w:ascii="Times New Roman" w:hAnsi="Times New Roman" w:eastAsia="標楷體" w:cs="標楷體"/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="Times New Roman" w:hAnsi="Times New Roman" w:eastAsia="標楷體" w:cs="標楷體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ascii="Times New Roman" w:hAnsi="Times New Roman" w:eastAsia="標楷體" w:cs="標楷體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Times New Roman" w:hAnsi="Times New Roman" w:eastAsia="標楷體" w:cs="標楷體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ascii="Times New Roman" w:hAnsi="Times New Roman" w:eastAsia="標楷體" w:cs="標楷體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rFonts w:ascii="Times New Roman" w:hAnsi="Times New Roman" w:eastAsia="標楷體" w:cs="標楷體"/>
        <w:color w:val="000000" w:themeColor="text1"/>
      </w:rPr>
    </w:tblStylePr>
    <w:tblStylePr w:type="nwCell">
      <w:rPr>
        <w:rFonts w:ascii="Times New Roman" w:hAnsi="Times New Roman" w:eastAsia="標楷體" w:cs="標楷體"/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ascii="Times New Roman" w:hAnsi="Times New Roman" w:eastAsia="標楷體" w:cs="標楷體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rFonts w:ascii="Times New Roman" w:hAnsi="Times New Roman" w:eastAsia="標楷體" w:cs="標楷體"/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ascii="Times New Roman" w:hAnsi="Times New Roman" w:eastAsia="標楷體" w:cs="標楷體"/>
        <w:b/>
        <w:bCs/>
      </w:rPr>
    </w:tblStylePr>
    <w:tblStylePr w:type="lastCol">
      <w:rPr>
        <w:rFonts w:ascii="Times New Roman" w:hAnsi="Times New Roman" w:eastAsia="標楷體" w:cs="標楷體"/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Times New Roman" w:hAnsi="Times New Roman" w:eastAsia="標楷體" w:cs="標楷體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rFonts w:ascii="Times New Roman" w:hAnsi="Times New Roman" w:eastAsia="標楷體" w:cs="標楷體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rFonts w:ascii="Times New Roman" w:hAnsi="Times New Roman" w:eastAsia="標楷體" w:cs="標楷體"/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rFonts w:ascii="Times New Roman" w:hAnsi="Times New Roman" w:eastAsia="標楷體" w:cs="標楷體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