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bookmarkStart w:id="3" w:name="_Toc10002"/>
      <w:r>
        <w:rPr>
          <w:rFonts w:ascii="Times New Roman" w:hAnsi="Times New Roman" w:eastAsia="標楷體" w:cs="標楷體"/>
          <w:sz w:val="28"/>
        </w:rPr>
        <w:t>第一章　問題識別與動機建構</w:t>
      </w:r>
      <w:bookmarkEnd w:id="3"/>
    </w:p>
    <w:p>
      <w:pPr>
        <w:pStyle w:val="Heading2"/>
      </w:pPr>
      <w:bookmarkStart w:id="4" w:name="_Toc10003"/>
      <w:r>
        <w:rPr>
          <w:rFonts w:ascii="Times New Roman" w:hAnsi="Times New Roman" w:eastAsia="標楷體" w:cs="標楷體"/>
          <w:sz w:val="26"/>
        </w:rPr>
        <w:t>1.1 研究背景與動機</w:t>
      </w:r>
      <w:bookmarkEnd w:id="4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溫室效應加劇與海平面上升等情形，使現今社會愈加重視碳排放問題所帶來的挑戰。全球暖化導致生物多樣性威脅加劇，已成為各國政府與企業亟需面對的議題。IPCC 第六次評估報告（IPCC, 2022）指出，海平面上升速率已由 20 世紀初的每年約 1.3 毫米，提升至近年的 3.7 毫米，顯示氣候風險正快速加劇。此現象促使國際社會更加重視碳排放管理與減碳技術的發展，並推動各種二氧化碳移除（Carbon Dioxide Removal, CDR）方法的探索與應用。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植樹造林與再造林（Afforestation and Reforestation, A/R）透過自然程序形成碳匯、支持生物多樣性，成為眾多 CDR 方法中受廣泛採用的選擇。造林成果具備可量化的碳儲存量，能夠納入決策依據、整合至碳匯交易平台。完整的資訊管理支援賦予中小規模參與者決策能力，使造林的社會影響力得以持續擴大。值得注意的是，量化碳儲量的核心指標——胸高直徑（DBH, Diameter at Breast Height）——目前仍主要依賴人工捲尺量測，費時且難以在碎片化小地主群體中大規模推廣。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里山倡議（Satoyama Initiative）由聯合國大學提倡，支持生物多樣性公約（CBD），強調地方社群在森林保育與碳匯管理中的核心角色。依據國家自主貢獻（NDCs）的承諾框架，建立完整且可驗證的林地資訊管理機制，有助緩和中小企業與小地主的參與門檻，朝向達成永續發展目標（SDGs）前進。現行碳匯認證流程的複雜性與資料驗證成本，可以是此專案協助碎片化地主進入碳交易市場的主要制度性焦點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此專案識別出現行碳匯量測與記錄體系的三項核心技術缺口：其一，傳統人工胸高直徑量測費時費力，缺乏可隨時部署於林地現場的低成本量測工具；其二，量測系統無法自動修正系統性誤差，導致長期累積的估算偏差難以自我修正；其三，紙本或集中式資料庫缺乏不可竄改的存證機制，碳匯記錄的可信度與可驗證性不足。此專案針對上述三項缺口，提出整合手機影片量測、AI 視覺分析、修正因子自演進機制與區塊鏈存證的系統化解決方案。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</w:rPr>
        <w:t>在國際碳市場制度面，臺灣的林地碳匯已具備進入 Verra 核證碳標準（VCS） 自願性碳市場的法律前提：Verra 計畫規則第 4.1 條明確指出申請無需地主國政府同意函，臺灣政治地位因此不構成申請障礙（Verra, 2024）；《氣候變遷因應法》第 37 條（2023 年）授權設立臺灣碳交所並開放國際 Verra 核證碳信用之境內交易；SGS、DNV GL 與 TÜV Rheinland 等 Verra 授權查驗機構均已在臺設立據點，同時持有環境部核發之溫室氣體查驗許可（環境部，2024）。然而，至今從未有任何臺灣企業完成過 Verra VM0047 林業碳匯計畫的完整申請流程。</w:t>
      </w:r>
    </w:p>
    <w:p>
      <w:pPr>
        <w:spacing w:after="120"/>
        <w:ind w:firstLine="480"/>
      </w:pPr>
      <w:r>
        <w:t>此申請缺口的成因可歸納為五項相互強化的障礙：其一，Verra 核證碳標準 認證固定費用高昂，從專案設計文件撰寫、第三方事前查驗至首批碳信用核發，總成本高昂，而臺灣符合條件的人造林面積有限，可核發碳信用量往往不足以回收此前期投入；其二，VM0047 對林地資格的條件嚴格（22 年以下人造林，且造林前該土地不得已是林地），符合條件的有效面積在臺灣極為有限；其三，臺灣碳交所成立（2023 年）之前，國內缺乏合法的碳信用交易管道，申請動機受到根本性抑制；其四，環境部對「境外機構核發、本土林地產生之碳信用」的認定至今未有明確解釋，企業面對法律不確定性而選擇觀望；其五，符合 VM0047 精度要求的傳統地面量測須由受訓人員持儀器逐棵作業，量測成本高昂且缺乏可信的第三方存證機制，使多數小面積地主難以獨立啟動申請程序。</w:t>
      </w:r>
    </w:p>
    <w:p>
      <w:pPr>
        <w:spacing w:after="80"/>
        <w:jc w:val="center"/>
      </w:pPr>
    </w:p>
    <w:p>
      <w:pPr>
        <w:jc w:val="center"/>
        <w:spacing w:before="120" w:after="60"/>
      </w:pPr>
      <w:r>
        <w:drawing xmlns:a="http://schemas.openxmlformats.org/drawingml/2006/main">
          <wp:inline distT="0" distB="0" distL="0" distR="0">
            <wp:extent cx="5669280" cy="3337560"/>
            <wp:effectExtent l="0" t="0" r="0" b="0"/>
            <wp:docPr id="3000" name="圖1-3五項障礙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5669280" cy="3337560"/>
                      <a:chOff x="0" y="0"/>
                      <a:chExt cx="5669280" cy="3337560"/>
                    </a:xfrm>
                  </wpg:grpSpPr>
                  <wps:wsp>
                    <wps:cNvPr id="0" name="頂框缺口"/>
                    <wps:cNvSpPr/>
                    <wps:spPr>
                      <a:xfrm>
                        <a:off x="1280160" y="0"/>
                        <a:ext cx="3108960" cy="502920"/>
                      </a:xfrm>
                      <a:prstGeom prst="roundRect">
                        <a:avLst/>
                      </a:prstGeom>
                      <a:solidFill>
                        <a:srgbClr val="7B241C"/>
                      </a:solidFill>
                      <a:ln w="9525">
                        <a:solidFill>
                          <a:srgbClr val="641E16"/>
                        </a:solidFill>
                      </a:ln>
                    </wps:spPr>
                    <wps:txbx>
                      <w:txbxContent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Verra 林業碳匯申請缺口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27432" rIns="45720" bIns="27432" anchor="ctr" anchorCtr="0">
                      <a:noAutofit/>
                    </wps:bodyPr>
                  </wps:wsp>
                  <wps:wsp>
                    <wps:cNvPr id="0" name="主幹"/>
                    <wps:cNvSpPr/>
                    <wps:spPr>
                      <a:xfrm>
                        <a:off x="2834640" y="502920"/>
                        <a:ext cx="0" cy="228600"/>
                      </a:xfrm>
                      <a:prstGeom prst="line">
                        <a:avLst/>
                      </a:prstGeom>
                      <a:ln w="12700">
                        <a:solidFill>
                          <a:srgbClr val="7B7B7B"/>
                        </a:solidFill>
                      </a:ln>
                    </wps:spPr>
                    <wps:bodyPr/>
                  </wps:wsp>
                  <wps:wsp>
                    <wps:cNvPr id="0" name="橫幹"/>
                    <wps:cNvSpPr/>
                    <wps:spPr>
                      <a:xfrm>
                        <a:off x="523036" y="731520"/>
                        <a:ext cx="4623204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7B7B7B"/>
                        </a:solidFill>
                      </a:ln>
                    </wps:spPr>
                    <wps:bodyPr/>
                  </wps:wsp>
                  <wps:wsp>
                    <wps:cNvPr id="0" name="分支0"/>
                    <wps:cNvSpPr/>
                    <wps:spPr>
                      <a:xfrm>
                        <a:off x="523036" y="731520"/>
                        <a:ext cx="0" cy="182880"/>
                      </a:xfrm>
                      <a:prstGeom prst="line">
                        <a:avLst/>
                      </a:prstGeom>
                      <a:ln w="12700">
                        <a:solidFill>
                          <a:srgbClr val="7B7B7B"/>
                        </a:solidFill>
                      </a:ln>
                    </wps:spPr>
                    <wps:bodyPr/>
                  </wps:wsp>
                  <wps:wsp>
                    <wps:cNvPr id="0" name="分支1"/>
                    <wps:cNvSpPr/>
                    <wps:spPr>
                      <a:xfrm>
                        <a:off x="1678837" y="731520"/>
                        <a:ext cx="0" cy="182880"/>
                      </a:xfrm>
                      <a:prstGeom prst="line">
                        <a:avLst/>
                      </a:prstGeom>
                      <a:ln w="12700">
                        <a:solidFill>
                          <a:srgbClr val="7B7B7B"/>
                        </a:solidFill>
                      </a:ln>
                    </wps:spPr>
                    <wps:bodyPr/>
                  </wps:wsp>
                  <wps:wsp>
                    <wps:cNvPr id="0" name="分支2"/>
                    <wps:cNvSpPr/>
                    <wps:spPr>
                      <a:xfrm>
                        <a:off x="2834638" y="731520"/>
                        <a:ext cx="0" cy="182880"/>
                      </a:xfrm>
                      <a:prstGeom prst="line">
                        <a:avLst/>
                      </a:prstGeom>
                      <a:ln w="12700">
                        <a:solidFill>
                          <a:srgbClr val="7B7B7B"/>
                        </a:solidFill>
                      </a:ln>
                    </wps:spPr>
                    <wps:bodyPr/>
                  </wps:wsp>
                  <wps:wsp>
                    <wps:cNvPr id="0" name="分支3"/>
                    <wps:cNvSpPr/>
                    <wps:spPr>
                      <a:xfrm>
                        <a:off x="3990439" y="731520"/>
                        <a:ext cx="0" cy="182880"/>
                      </a:xfrm>
                      <a:prstGeom prst="line">
                        <a:avLst/>
                      </a:prstGeom>
                      <a:ln w="12700">
                        <a:solidFill>
                          <a:srgbClr val="7B7B7B"/>
                        </a:solidFill>
                      </a:ln>
                    </wps:spPr>
                    <wps:bodyPr/>
                  </wps:wsp>
                  <wps:wsp>
                    <wps:cNvPr id="0" name="分支4"/>
                    <wps:cNvSpPr/>
                    <wps:spPr>
                      <a:xfrm>
                        <a:off x="5146240" y="731520"/>
                        <a:ext cx="0" cy="182880"/>
                      </a:xfrm>
                      <a:prstGeom prst="line">
                        <a:avLst/>
                      </a:prstGeom>
                      <a:ln w="12700">
                        <a:solidFill>
                          <a:srgbClr val="7B7B7B"/>
                        </a:solidFill>
                      </a:ln>
                    </wps:spPr>
                    <wps:bodyPr/>
                  </wps:wsp>
                  <wps:wsp>
                    <wps:cNvPr id="0" name="障礙1"/>
                    <wps:cNvSpPr/>
                    <wps:spPr>
                      <a:xfrm>
                        <a:off x="0" y="914400"/>
                        <a:ext cx="1046073" cy="960120"/>
                      </a:xfrm>
                      <a:prstGeom prst="roundRect">
                        <a:avLst/>
                      </a:prstGeom>
                      <a:solidFill>
                        <a:srgbClr val="D6E4F0"/>
                      </a:solidFill>
                      <a:ln w="9525">
                        <a:solidFill>
                          <a:srgbClr val="1F4E79"/>
                        </a:solidFill>
                      </a:ln>
                    </wps:spPr>
                    <wps:txbx>
                      <w:txbxContent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1F4E79"/>
                              <w:sz w:val="24"/>
                              <w:szCs w:val="24"/>
                            </w:rPr>
                            <w:t xml:space="preserve">其一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color w:val="1F4E79"/>
                              <w:sz w:val="24"/>
                              <w:szCs w:val="24"/>
                            </w:rPr>
                            <w:t xml:space="preserve">認證費用高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color w:val="7F8C8D"/>
                              <w:sz w:val="24"/>
                              <w:szCs w:val="24"/>
                            </w:rPr>
                            <w:t xml:space="preserve">政策制度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27432" rIns="45720" bIns="27432" anchor="ctr" anchorCtr="0">
                      <a:noAutofit/>
                    </wps:bodyPr>
                  </wps:wsp>
                  <wps:wsp>
                    <wps:cNvPr id="0" name="障礙2"/>
                    <wps:cNvSpPr/>
                    <wps:spPr>
                      <a:xfrm>
                        <a:off x="1155801" y="914400"/>
                        <a:ext cx="1046073" cy="960120"/>
                      </a:xfrm>
                      <a:prstGeom prst="roundRect">
                        <a:avLst/>
                      </a:prstGeom>
                      <a:solidFill>
                        <a:srgbClr val="D5F0E3"/>
                      </a:solidFill>
                      <a:ln w="9525">
                        <a:solidFill>
                          <a:srgbClr val="1A7A50"/>
                        </a:solidFill>
                      </a:ln>
                    </wps:spPr>
                    <wps:txbx>
                      <w:txbxContent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1A7A50"/>
                              <w:sz w:val="24"/>
                              <w:szCs w:val="24"/>
                            </w:rPr>
                            <w:t xml:space="preserve">其二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color w:val="1A7A50"/>
                              <w:sz w:val="24"/>
                              <w:szCs w:val="24"/>
                            </w:rPr>
                            <w:t xml:space="preserve">林地資格嚴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color w:val="7F8C8D"/>
                              <w:sz w:val="24"/>
                              <w:szCs w:val="24"/>
                            </w:rPr>
                            <w:t xml:space="preserve">政策制度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27432" rIns="45720" bIns="27432" anchor="ctr" anchorCtr="0">
                      <a:noAutofit/>
                    </wps:bodyPr>
                  </wps:wsp>
                  <wps:wsp>
                    <wps:cNvPr id="0" name="障礙3"/>
                    <wps:cNvSpPr/>
                    <wps:spPr>
                      <a:xfrm>
                        <a:off x="2311602" y="914400"/>
                        <a:ext cx="1046073" cy="960120"/>
                      </a:xfrm>
                      <a:prstGeom prst="roundRect">
                        <a:avLst/>
                      </a:prstGeom>
                      <a:solidFill>
                        <a:srgbClr val="F7E4CF"/>
                      </a:solidFill>
                      <a:ln w="9525">
                        <a:solidFill>
                          <a:srgbClr val="9C5310"/>
                        </a:solidFill>
                      </a:ln>
                    </wps:spPr>
                    <wps:txbx>
                      <w:txbxContent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9C5310"/>
                              <w:sz w:val="24"/>
                              <w:szCs w:val="24"/>
                            </w:rPr>
                            <w:t xml:space="preserve">其三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color w:val="9C5310"/>
                              <w:sz w:val="24"/>
                              <w:szCs w:val="24"/>
                            </w:rPr>
                            <w:t xml:space="preserve">交易管道缺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color w:val="7F8C8D"/>
                              <w:sz w:val="24"/>
                              <w:szCs w:val="24"/>
                            </w:rPr>
                            <w:t xml:space="preserve">政策制度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27432" rIns="45720" bIns="27432" anchor="ctr" anchorCtr="0">
                      <a:noAutofit/>
                    </wps:bodyPr>
                  </wps:wsp>
                  <wps:wsp>
                    <wps:cNvPr id="0" name="障礙4"/>
                    <wps:cNvSpPr/>
                    <wps:spPr>
                      <a:xfrm>
                        <a:off x="3467403" y="914400"/>
                        <a:ext cx="1046073" cy="960120"/>
                      </a:xfrm>
                      <a:prstGeom prst="roundRect">
                        <a:avLst/>
                      </a:prstGeom>
                      <a:solidFill>
                        <a:srgbClr val="E8DAF0"/>
                      </a:solidFill>
                      <a:ln w="9525">
                        <a:solidFill>
                          <a:srgbClr val="5E2A87"/>
                        </a:solidFill>
                      </a:ln>
                    </wps:spPr>
                    <wps:txbx>
                      <w:txbxContent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5E2A87"/>
                              <w:sz w:val="24"/>
                              <w:szCs w:val="24"/>
                            </w:rPr>
                            <w:t xml:space="preserve">其四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color w:val="5E2A87"/>
                              <w:sz w:val="24"/>
                              <w:szCs w:val="24"/>
                            </w:rPr>
                            <w:t xml:space="preserve">法律認定不明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color w:val="7F8C8D"/>
                              <w:sz w:val="24"/>
                              <w:szCs w:val="24"/>
                            </w:rPr>
                            <w:t xml:space="preserve">政策制度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27432" rIns="45720" bIns="27432" anchor="ctr" anchorCtr="0">
                      <a:noAutofit/>
                    </wps:bodyPr>
                  </wps:wsp>
                  <wps:wsp>
                    <wps:cNvPr id="0" name="障礙5"/>
                    <wps:cNvSpPr/>
                    <wps:spPr>
                      <a:xfrm>
                        <a:off x="4623204" y="914400"/>
                        <a:ext cx="1046073" cy="960120"/>
                      </a:xfrm>
                      <a:prstGeom prst="roundRect">
                        <a:avLst/>
                      </a:prstGeom>
                      <a:solidFill>
                        <a:srgbClr val="FCE9C6"/>
                      </a:solidFill>
                      <a:ln w="28575">
                        <a:solidFill>
                          <a:srgbClr val="D4A017"/>
                        </a:solidFill>
                      </a:ln>
                    </wps:spPr>
                    <wps:txbx>
                      <w:txbxContent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8A5A00"/>
                              <w:sz w:val="24"/>
                              <w:szCs w:val="24"/>
                            </w:rPr>
                            <w:t xml:space="preserve">其五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8A5A00"/>
                              <w:sz w:val="24"/>
                              <w:szCs w:val="24"/>
                            </w:rPr>
                            <w:t xml:space="preserve">量測成本高·存證缺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color w:val="7F8C8D"/>
                              <w:sz w:val="24"/>
                              <w:szCs w:val="24"/>
                            </w:rPr>
                            <w:t xml:space="preserve">技術缺口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27432" rIns="45720" bIns="27432" anchor="ctr" anchorCtr="0">
                      <a:noAutofit/>
                    </wps:bodyPr>
                  </wps:wsp>
                  <wps:wsp>
                    <wps:cNvPr id="0" name="技術介入點"/>
                    <wps:cNvSpPr/>
                    <wps:spPr>
                      <a:xfrm>
                        <a:off x="731520" y="2514600"/>
                        <a:ext cx="4206240" cy="822960"/>
                      </a:xfrm>
                      <a:prstGeom prst="roundRect">
                        <a:avLst/>
                      </a:prstGeom>
                      <a:solidFill>
                        <a:srgbClr val="F1C40F"/>
                      </a:solidFill>
                      <a:ln w="28575">
                        <a:solidFill>
                          <a:srgbClr val="B7950B"/>
                        </a:solidFill>
                      </a:ln>
                    </wps:spPr>
                    <wps:txbx>
                      <w:txbxContent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5B4600"/>
                              <w:sz w:val="24"/>
                              <w:szCs w:val="24"/>
                            </w:rPr>
                            <w:t xml:space="preserve">本研究技術介入點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5B4600"/>
                              <w:sz w:val="24"/>
                              <w:szCs w:val="24"/>
                            </w:rPr>
                            <w:t xml:space="preserve">手機影像量測＋區塊鏈存證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27432" rIns="45720" bIns="27432" anchor="ctr" anchorCtr="0">
                      <a:noAutofit/>
                    </wps:bodyPr>
                  </wps:wsp>
                  <wps:wsp>
                    <wps:cNvPr id="0" name="向上箭頭"/>
                    <wps:cNvSpPr/>
                    <wps:spPr>
                      <a:xfrm>
                        <a:off x="4999936" y="1874520"/>
                        <a:ext cx="292608" cy="640080"/>
                      </a:xfrm>
                      <a:prstGeom prst="upArrow">
                        <a:avLst/>
                      </a:prstGeom>
                      <a:solidFill>
                        <a:srgbClr val="D4A017"/>
                      </a:solidFill>
                      <a:ln w="6350">
                        <a:solidFill>
                          <a:srgbClr val="808080"/>
                        </a:solidFill>
                      </a:ln>
                    </wps:spPr>
                    <wps:bodyPr/>
                  </wps:wsp>
                </wpg:wgp>
              </a:graphicData>
            </a:graphic>
          </wp:inline>
        </w:drawing>
      </w:r>
    </w:p>
    <w:p>
      <w:pPr>
        <w:jc w:val="center"/>
      </w:pPr>
      <w:r>
        <w:t>圖 1-1　臺灣 Verra 林業碳匯申請五項制度障礙關係</w:t>
      </w:r>
    </w:p>
    <w:p>
      <w:pPr>
        <w:spacing w:after="120"/>
        <w:ind w:firstLine="480"/>
      </w:pPr>
      <w:r>
        <w:t>此專案系統設計直接針對上述第五項障礙——量測成本高昂與存證機制缺失——提出技術解方。前四項障礙（認證費用門檻、林地資格限制、交易管道缺失、法律認定不明）屬於政策層面的制度性課題，有待相應法規與市場機制的配合才能推進；第五項障礙則是可藉由技術手段化解的先決條件，構成此專案的介入點。透過以普通智慧型手機影片結合 Gemini Vision AI 估算胸高直徑，並搭配 Hyperledger Besu 私有鏈進行不可竄改之量測存證，此專案提供符合 Verra VM0047 §8.5 精度要求的低成本量測方案，使臺灣造林計畫在技術層面具備啟動 Verra 申請流程的完整基礎條件，以技術先決條件的解除為制度性解方的落地創造必要準備。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</w:rPr>
        <w:t>上述五項障礙的結構，決定了臺灣首件 Verra 林業碳匯認證最可能透過示範計畫的路徑實現——由學術機構、非政府組織或基金會以建立先例、催化政策為目標，組織不以短期財務回收為前提的先驅申請，以一件具體可見的成功案例打破現行法律認定的觀望循環。此類示範計畫得以成立的關鍵前提，在於量測成本能夠降至中小機構可負擔的水準；此專案所開發之低成本手機影像量測系統，正是為此先決條件提供技術基礎，使臺灣造林計畫的先驅認證申請在財務上具有實質可行性。</w:t>
      </w:r>
    </w:p>
    <w:p>
      <w:pPr>
        <w:pStyle w:val="Heading2"/>
      </w:pPr>
      <w:bookmarkStart w:id="5" w:name="_Toc10004"/>
      <w:r>
        <w:rPr>
          <w:rFonts w:ascii="Times New Roman" w:hAnsi="Times New Roman" w:eastAsia="標楷體" w:cs="標楷體"/>
          <w:sz w:val="26"/>
        </w:rPr>
        <w:t>1.2 研究問題</w:t>
      </w:r>
      <w:bookmarkEnd w:id="5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此專案採設計科學研究法（Design Science Research Methodology, DSRM; Peffers et al., 2007），建構以手機影片量測為核心的林地碳匯資訊管理平台。系統以三路徑優先級方法推算胸高直徑——優先以 Gemini Vision 直接讀取貼附於樹幹之量尺或刻度進行光學字元辨識（OCR）量測，次則以信用卡、A4 紙等 11 類實體參照物作為比例尺換算，最後以薄透鏡公式作為備援方案；Gemini Vision 同時負責 AI 視覺辨識與品質控制；量測結果透過 CarbonCredit.sol 智能合約存入 Hyperledger Besu 企業私鏈，形成不可竄改之碳匯存證。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此專案提出以下三個研究問題（表 1-1）：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929"/>
        <w:gridCol w:w="2929"/>
        <w:gridCol w:w="2929"/>
      </w:tblGrid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b/>
                <w:sz w:val="22"/>
              </w:rPr>
              <w:t>研究問題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b/>
                <w:sz w:val="22"/>
              </w:rPr>
              <w:t>核心命題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b/>
                <w:sz w:val="22"/>
              </w:rPr>
              <w:t>主要評估指標</w:t>
            </w:r>
          </w:p>
        </w:tc>
      </w:tr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2"/>
              </w:rPr>
              <w:t>研究問題一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2"/>
              </w:rPr>
              <w:t>以手機影片結合薄透鏡公式估算胸高直徑（DBH, Diameter at Breast Height），量測精度能否達到 平均絕對百分比誤差 ≤ 25%？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2"/>
              </w:rPr>
              <w:t>平均絕對誤差、平均絕對百分比誤差、均方根誤差（RMSE）、R²</w:t>
              <w:br/>
              <w:t>（Bootstrap 95% 信賴區間）</w:t>
            </w:r>
          </w:p>
        </w:tc>
      </w:tr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2"/>
              </w:rPr>
              <w:t>研究問題二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2"/>
              </w:rPr>
              <w:t>修正因子能否藉由累積實測回饋自動演進，持續降低系統性偏差？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2"/>
              </w:rPr>
              <w:t>演進前後 bias 比較</w:t>
              <w:br/>
              <w:t>correction_factor_log 趨勢</w:t>
            </w:r>
          </w:p>
        </w:tc>
      </w:tr>
      <w:tr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2"/>
              </w:rPr>
              <w:t>研究問題三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2"/>
              </w:rPr>
              <w:t>區塊鏈存證機制能否確保碳匯量測記錄的不可竄改性？</w:t>
            </w:r>
          </w:p>
        </w:tc>
        <w:tc>
          <w:tcPr>
            <w:tcW w:type="dxa" w:w="2929"/>
          </w:tcPr>
          <w:p>
            <w:r>
              <w:rPr>
                <w:rFonts w:ascii="Times New Roman" w:hAnsi="Times New Roman" w:eastAsia="標楷體" w:cs="標楷體"/>
                <w:sz w:val="22"/>
              </w:rPr>
              <w:t>verify-blockchain.js 一致性比率、上鏈成功率</w:t>
            </w:r>
          </w:p>
        </w:tc>
      </w:tr>
    </w:tbl>
    <w:p/>
    <w:p>
      <w:pPr>
        <w:jc w:val="center"/>
      </w:pPr>
      <w:r>
        <w:rPr>
          <w:rFonts w:ascii="Times New Roman" w:hAnsi="Times New Roman" w:eastAsia="標楷體" w:cs="標楷體"/>
          <w:sz w:val="22"/>
        </w:rPr>
        <w:t>表 1-1　三個研究問題與評估指標</w:t>
      </w:r>
    </w:p>
    <w:p/>
    <w:p>
      <w:pPr>
        <w:pStyle w:val="Heading2"/>
      </w:pPr>
      <w:bookmarkStart w:id="6" w:name="_Toc10005"/>
      <w:r>
        <w:rPr>
          <w:rFonts w:ascii="Times New Roman" w:hAnsi="Times New Roman" w:eastAsia="標楷體" w:cs="標楷體"/>
          <w:sz w:val="26"/>
        </w:rPr>
        <w:t>1.3 研究目的</w:t>
      </w:r>
      <w:bookmarkEnd w:id="6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此專案目的可分為以下四個層次：</w:t>
      </w:r>
    </w:p>
    <w:p>
      <w:pPr>
        <w:spacing w:after="120"/>
      </w:pPr>
      <w:r>
        <w:rPr>
          <w:rFonts w:ascii="Times New Roman" w:hAnsi="Times New Roman" w:eastAsia="標楷體" w:cs="標楷體"/>
          <w:sz w:val="24"/>
        </w:rPr>
        <w:t>（一）技術精度目的：建立可量化、可重複的胸高直徑量測流程，以三路徑優先級設計（光學字元辨識（OCR）直讀、參照物比例、薄透鏡公式）驗證量測精度，目標達到 平均絕對百分比誤差 ≤ 25% 的精度門檻。此 ≤ 25% 為本專案自訂之量測精度目標，用以確保影片量測流程的可重複性並建立品質基準，並非 Verra VM0047 或任何碳標準之條文門檻；Verra VM0047 對碳權核發之唯一量化門檻，係要求 90% 信賴區間半寬佔均值之比率低於 100%（詳見第四章 4.2 節之合規驗算）。</w:t>
      </w:r>
    </w:p>
    <w:p>
      <w:pPr>
        <w:spacing w:after="120"/>
      </w:pPr>
      <w:r>
        <w:rPr>
          <w:rFonts w:ascii="Times New Roman" w:hAnsi="Times New Roman" w:eastAsia="標楷體" w:cs="標楷體"/>
          <w:sz w:val="24"/>
        </w:rPr>
        <w:t>（二）系統自演進目的：設計修正因子加權自演進機制，使系統能夠從累積的實測數據中自動調整估算模型，持續降低系統性偏差，提升碳匯估算的長期可靠性。</w:t>
      </w:r>
    </w:p>
    <w:p>
      <w:pPr>
        <w:spacing w:after="120"/>
      </w:pPr>
      <w:r>
        <w:rPr>
          <w:rFonts w:ascii="Times New Roman" w:hAnsi="Times New Roman" w:eastAsia="標楷體" w:cs="標楷體"/>
          <w:sz w:val="24"/>
        </w:rPr>
        <w:t>（三）資料可信度目的：透過 CarbonCredit.sol 智能合約與 Hyperledger Besu 企業私鏈，確保每筆量測記錄均具備不可竄改的區塊鏈存證，滿足碳匯交易的資料完整性要求。</w:t>
      </w:r>
    </w:p>
    <w:p>
      <w:pPr>
        <w:spacing w:after="120"/>
      </w:pPr>
      <w:r>
        <w:rPr>
          <w:rFonts w:ascii="Times New Roman" w:hAnsi="Times New Roman" w:eastAsia="標楷體" w:cs="標楷體"/>
          <w:sz w:val="24"/>
        </w:rPr>
        <w:t>（四）制度推廣目的：降低碎片化地主與中小企業參與碳匯管理的制度性成本，提供具示範性與可擴展性的技術平台原型，支持 NDCs 框架下永續發展目標的推進。</w:t>
      </w:r>
    </w:p>
    <w:p>
      <w:pPr>
        <w:pStyle w:val="Heading2"/>
      </w:pPr>
      <w:bookmarkStart w:id="7" w:name="_Toc10006"/>
      <w:r>
        <w:rPr>
          <w:rFonts w:ascii="Times New Roman" w:hAnsi="Times New Roman" w:eastAsia="標楷體" w:cs="標楷體"/>
          <w:sz w:val="26"/>
        </w:rPr>
        <w:t>1.4 研究方法架構</w:t>
      </w:r>
      <w:bookmarkEnd w:id="7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此專案以設計科學研究法（Peffers et al., 2007）為方法論基礎，依循六個典型流程：問題識別與動機建構、目標界定、設計與開發、示範應用、效益評估，以及推廣溝通。各章節與 設計科學研究法（DSRM） 六步驟的詳細對應關係於第三章說明。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86400" cy="186977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ig_1-1_DSRM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9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t>圖 1-2　設計科學研究法（DSRM）六步驟與各章節對應流程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為確保研究嚴謹性，此專案同時對應 Hevner et al.（2004）提出的設計科學七項準則，各準則的此專案對應設計彙整如表 1-2 所示。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394"/>
        <w:gridCol w:w="4394"/>
      </w:tblGrid>
      <w:tr>
        <w:tc>
          <w:tcPr>
            <w:tcW w:type="dxa" w:w="4394"/>
          </w:tcPr>
          <w:p>
            <w:r>
              <w:rPr>
                <w:rFonts w:ascii="Times New Roman" w:hAnsi="Times New Roman" w:eastAsia="標楷體" w:cs="標楷體"/>
                <w:b/>
                <w:sz w:val="22"/>
              </w:rPr>
              <w:t>Hevner 準則（2004）</w:t>
            </w:r>
          </w:p>
        </w:tc>
        <w:tc>
          <w:tcPr>
            <w:tcW w:type="dxa" w:w="4394"/>
          </w:tcPr>
          <w:p>
            <w:r>
              <w:rPr>
                <w:rFonts w:ascii="Times New Roman" w:hAnsi="Times New Roman" w:eastAsia="標楷體" w:cs="標楷體"/>
                <w:b/>
                <w:sz w:val="22"/>
              </w:rPr>
              <w:t>此專案對應設計</w:t>
            </w:r>
          </w:p>
        </w:tc>
      </w:tr>
      <w:tr>
        <w:tc>
          <w:tcPr>
            <w:tcW w:type="dxa" w:w="4394"/>
          </w:tcPr>
          <w:p>
            <w:r>
              <w:rPr>
                <w:rFonts w:ascii="Times New Roman" w:hAnsi="Times New Roman" w:eastAsia="標楷體" w:cs="標楷體"/>
                <w:sz w:val="22"/>
              </w:rPr>
              <w:t>準則一：設計作為人工製品（Design as an Artifact）</w:t>
            </w:r>
          </w:p>
        </w:tc>
        <w:tc>
          <w:tcPr>
            <w:tcW w:type="dxa" w:w="4394"/>
          </w:tcPr>
          <w:p>
            <w:r>
              <w:rPr>
                <w:rFonts w:ascii="Times New Roman" w:hAnsi="Times New Roman" w:eastAsia="標楷體" w:cs="標楷體"/>
                <w:sz w:val="22"/>
              </w:rPr>
              <w:t>三支柱平台：量測引擎（薄透鏡公式 + 參照物路徑）、修正因子自演進帳本、CarbonCredit.sol 區塊鏈存證</w:t>
            </w:r>
          </w:p>
        </w:tc>
      </w:tr>
      <w:tr>
        <w:tc>
          <w:tcPr>
            <w:tcW w:type="dxa" w:w="4394"/>
          </w:tcPr>
          <w:p>
            <w:r>
              <w:rPr>
                <w:rFonts w:ascii="Times New Roman" w:hAnsi="Times New Roman" w:eastAsia="標楷體" w:cs="標楷體"/>
                <w:sz w:val="22"/>
              </w:rPr>
              <w:t>準則二：問題相關性（Problem Relevance）</w:t>
            </w:r>
          </w:p>
        </w:tc>
        <w:tc>
          <w:tcPr>
            <w:tcW w:type="dxa" w:w="4394"/>
          </w:tcPr>
          <w:p>
            <w:r>
              <w:rPr>
                <w:rFonts w:ascii="Times New Roman" w:hAnsi="Times New Roman" w:eastAsia="標楷體" w:cs="標楷體"/>
                <w:sz w:val="22"/>
              </w:rPr>
              <w:t>針對碎片化地主缺乏低成本胸高直徑量測工具、碳匯記錄難以驗證的實務缺口</w:t>
            </w:r>
          </w:p>
        </w:tc>
      </w:tr>
      <w:tr>
        <w:tc>
          <w:tcPr>
            <w:tcW w:type="dxa" w:w="4394"/>
          </w:tcPr>
          <w:p>
            <w:r>
              <w:rPr>
                <w:rFonts w:ascii="Times New Roman" w:hAnsi="Times New Roman" w:eastAsia="標楷體" w:cs="標楷體"/>
                <w:sz w:val="22"/>
              </w:rPr>
              <w:t>準則三：設計評估（Design Evaluation）</w:t>
            </w:r>
          </w:p>
        </w:tc>
        <w:tc>
          <w:tcPr>
            <w:tcW w:type="dxa" w:w="4394"/>
          </w:tcPr>
          <w:p>
            <w:r>
              <w:rPr>
                <w:rFonts w:ascii="Times New Roman" w:hAnsi="Times New Roman" w:eastAsia="標楷體" w:cs="標楷體"/>
                <w:sz w:val="22"/>
              </w:rPr>
              <w:t>研究問題一-3 量化指標（平均絕對誤差、平均絕對百分比誤差、R²、Bootstrap 95% 信賴區間）、Verra VM0047 §8.5 雙層次合規驗算（胸高直徑信賴區間半寬 6.3%、地上生物量（AGB） 信賴區間 14.7%）、通過率 74.2%（23/31 棵）</w:t>
            </w:r>
          </w:p>
        </w:tc>
      </w:tr>
      <w:tr>
        <w:tc>
          <w:tcPr>
            <w:tcW w:type="dxa" w:w="4394"/>
          </w:tcPr>
          <w:p>
            <w:r>
              <w:rPr>
                <w:rFonts w:ascii="Times New Roman" w:hAnsi="Times New Roman" w:eastAsia="標楷體" w:cs="標楷體"/>
                <w:sz w:val="22"/>
              </w:rPr>
              <w:t>準則四：研究貢獻（Research Contributions）</w:t>
            </w:r>
          </w:p>
        </w:tc>
        <w:tc>
          <w:tcPr>
            <w:tcW w:type="dxa" w:w="4394"/>
          </w:tcPr>
          <w:p>
            <w:r>
              <w:rPr>
                <w:rFonts w:ascii="Times New Roman" w:hAnsi="Times New Roman" w:eastAsia="標楷體" w:cs="標楷體"/>
                <w:sz w:val="22"/>
              </w:rPr>
              <w:t>薄透鏡公式應用於胸高直徑估算、修正因子加權自演進演算法、correction_factor_log 帳本機制、符合 VM0047 精度要求之低成本林地量測方案（填補臺灣迄今缺乏 Verra 林業碳匯申請先例之技術缺口）</w:t>
            </w:r>
          </w:p>
        </w:tc>
      </w:tr>
      <w:tr>
        <w:tc>
          <w:tcPr>
            <w:tcW w:type="dxa" w:w="4394"/>
          </w:tcPr>
          <w:p>
            <w:r>
              <w:rPr>
                <w:rFonts w:ascii="Times New Roman" w:hAnsi="Times New Roman" w:eastAsia="標楷體" w:cs="標楷體"/>
                <w:sz w:val="22"/>
              </w:rPr>
              <w:t>準則五：研究嚴謹性（Research Rigor）</w:t>
            </w:r>
          </w:p>
        </w:tc>
        <w:tc>
          <w:tcPr>
            <w:tcW w:type="dxa" w:w="4394"/>
          </w:tcPr>
          <w:p>
            <w:r>
              <w:rPr>
                <w:rFonts w:ascii="Times New Roman" w:hAnsi="Times New Roman" w:eastAsia="標楷體" w:cs="標楷體"/>
                <w:sz w:val="22"/>
              </w:rPr>
              <w:t>Bootstrap 10,000 次重採樣 95% 信賴區間、Hevner 設計科學研究法評估 checklist 自動評分</w:t>
            </w:r>
          </w:p>
        </w:tc>
      </w:tr>
      <w:tr>
        <w:tc>
          <w:tcPr>
            <w:tcW w:type="dxa" w:w="4394"/>
          </w:tcPr>
          <w:p>
            <w:r>
              <w:rPr>
                <w:rFonts w:ascii="Times New Roman" w:hAnsi="Times New Roman" w:eastAsia="標楷體" w:cs="標楷體"/>
                <w:sz w:val="22"/>
              </w:rPr>
              <w:t>準則六：設計為搜索過程（Design as a Search Process）</w:t>
            </w:r>
          </w:p>
        </w:tc>
        <w:tc>
          <w:tcPr>
            <w:tcW w:type="dxa" w:w="4394"/>
          </w:tcPr>
          <w:p>
            <w:r>
              <w:rPr>
                <w:rFonts w:ascii="Times New Roman" w:hAnsi="Times New Roman" w:eastAsia="標楷體" w:cs="標楷體"/>
                <w:sz w:val="22"/>
              </w:rPr>
              <w:t>三路徑優先級量測（光學字元辨識（OCR）直讀 + 參照物比例 + 薄透鏡公式）、跨幀群聚中位數抗噪、Pl@ntNet × iNaturalist 雙驗證</w:t>
            </w:r>
          </w:p>
        </w:tc>
      </w:tr>
      <w:tr>
        <w:tc>
          <w:tcPr>
            <w:tcW w:type="dxa" w:w="4394"/>
          </w:tcPr>
          <w:p>
            <w:r>
              <w:rPr>
                <w:rFonts w:ascii="Times New Roman" w:hAnsi="Times New Roman" w:eastAsia="標楷體" w:cs="標楷體"/>
                <w:sz w:val="22"/>
              </w:rPr>
              <w:t>準則七：研究溝通（Communication of Research）</w:t>
            </w:r>
          </w:p>
        </w:tc>
        <w:tc>
          <w:tcPr>
            <w:tcW w:type="dxa" w:w="4394"/>
          </w:tcPr>
          <w:p>
            <w:r>
              <w:rPr>
                <w:rFonts w:ascii="Times New Roman" w:hAnsi="Times New Roman" w:eastAsia="標楷體" w:cs="標楷體"/>
                <w:sz w:val="22"/>
              </w:rPr>
              <w:t>學術投稿（MDPI Forests 目標期刊）+ 開源程式碼（GitHub）</w:t>
            </w:r>
          </w:p>
        </w:tc>
      </w:tr>
    </w:tbl>
    <w:p/>
    <w:p>
      <w:pPr>
        <w:jc w:val="center"/>
      </w:pPr>
      <w:r>
        <w:rPr>
          <w:rFonts w:ascii="Times New Roman" w:hAnsi="Times New Roman" w:eastAsia="標楷體" w:cs="標楷體"/>
          <w:sz w:val="22"/>
        </w:rPr>
        <w:t>表 1-2　Hevner 七項準則與此專案設計對應</w:t>
      </w:r>
    </w:p>
    <w:p/>
    <w:p>
      <w:pPr>
        <w:pStyle w:val="Heading2"/>
      </w:pPr>
      <w:bookmarkStart w:id="8" w:name="_Toc10007"/>
      <w:r>
        <w:rPr>
          <w:rFonts w:ascii="Times New Roman" w:hAnsi="Times New Roman" w:eastAsia="標楷體" w:cs="標楷體"/>
          <w:sz w:val="26"/>
        </w:rPr>
        <w:t>1.5 論文架構</w:t>
      </w:r>
      <w:bookmarkEnd w:id="8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本論文共分五章。第一章說明研究背景與動機，提出三個研究問題，並闡述 設計科學研究法方法論框架與 Hevner 七項準則對應。第二章回顧胸高直徑量測方法、薄透鏡公式量測原理、AI 樹種辨識技術、修正因子演進方法，以及區塊鏈碳匯應用相關文獻，並說明現有文獻缺口與此專案填補方向。第三章詳述系統三支柱架構設計、資料模型與 應用程式介面（API） 設計、設計科學研究法六步驟的具體對應，以及修正因子自演進演算法的實作細節。第四章呈現田野量測實驗結果，針對 研究問題一–3 提供量化數據（平均絕對誤差（MAE）、平均絕對百分比誤差、R²、Bootstrap 95% 信賴區間（CI）），並進行 Hevner 七項準則的逐條評估。第五章總結研究貢獻，提出政策建議，並指出研究限制與未來發展方向。</w:t>
      </w:r>
    </w:p>
    <w:p>
      <w:pPr>
        <w:spacing w:after="80"/>
        <w:jc w:val="center"/>
      </w:pPr>
    </w:p>
    <w:p>
      <w:pPr>
        <w:jc w:val="center"/>
        <w:spacing w:before="120" w:after="60"/>
      </w:pPr>
      <w:r>
        <w:drawing xmlns:a="http://schemas.openxmlformats.org/drawingml/2006/main">
          <wp:inline distT="0" distB="0" distL="0" distR="0">
            <wp:extent cx="5669280" cy="2331720"/>
            <wp:effectExtent l="0" t="0" r="0" b="0"/>
            <wp:docPr id="2000" name="圖1-2論文架構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5669280" cy="2331720"/>
                      <a:chOff x="0" y="0"/>
                      <a:chExt cx="5669280" cy="2331720"/>
                    </a:xfrm>
                  </wpg:grpSpPr>
                  <wps:wsp>
                    <wps:cNvPr id="0" name="頂框"/>
                    <wps:cNvSpPr/>
                    <wps:spPr>
                      <a:xfrm>
                        <a:off x="1188720" y="0"/>
                        <a:ext cx="3291840" cy="548640"/>
                      </a:xfrm>
                      <a:prstGeom prst="roundRect">
                        <a:avLst/>
                      </a:prstGeom>
                      <a:solidFill>
                        <a:srgbClr val="34495E"/>
                      </a:solidFill>
                      <a:ln w="9525">
                        <a:solidFill>
                          <a:srgbClr val="2C3E50"/>
                        </a:solidFill>
                      </a:ln>
                    </wps:spPr>
                    <wps:txbx>
                      <w:txbxContent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植樹碳紀錄管理平台論文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（五章）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27432" rIns="45720" bIns="27432" anchor="ctr" anchorCtr="0">
                      <a:noAutofit/>
                    </wps:bodyPr>
                  </wps:wsp>
                  <wps:wsp>
                    <wps:cNvPr id="0" name="主幹"/>
                    <wps:cNvSpPr/>
                    <wps:spPr>
                      <a:xfrm>
                        <a:off x="2834640" y="548640"/>
                        <a:ext cx="0" cy="502920"/>
                      </a:xfrm>
                      <a:prstGeom prst="line">
                        <a:avLst/>
                      </a:prstGeom>
                      <a:ln w="12700">
                        <a:solidFill>
                          <a:srgbClr val="7B7B7B"/>
                        </a:solidFill>
                      </a:ln>
                    </wps:spPr>
                    <wps:bodyPr/>
                  </wps:wsp>
                  <wps:wsp>
                    <wps:cNvPr id="0" name="橫幹"/>
                    <wps:cNvSpPr/>
                    <wps:spPr>
                      <a:xfrm>
                        <a:off x="523036" y="1051560"/>
                        <a:ext cx="4623204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7B7B7B"/>
                        </a:solidFill>
                      </a:ln>
                    </wps:spPr>
                    <wps:bodyPr/>
                  </wps:wsp>
                  <wps:wsp>
                    <wps:cNvPr id="0" name="分支0"/>
                    <wps:cNvSpPr/>
                    <wps:spPr>
                      <a:xfrm>
                        <a:off x="523036" y="1051560"/>
                        <a:ext cx="0" cy="228600"/>
                      </a:xfrm>
                      <a:prstGeom prst="line">
                        <a:avLst/>
                      </a:prstGeom>
                      <a:ln w="12700">
                        <a:solidFill>
                          <a:srgbClr val="7B7B7B"/>
                        </a:solidFill>
                      </a:ln>
                    </wps:spPr>
                    <wps:bodyPr/>
                  </wps:wsp>
                  <wps:wsp>
                    <wps:cNvPr id="0" name="分支1"/>
                    <wps:cNvSpPr/>
                    <wps:spPr>
                      <a:xfrm>
                        <a:off x="1678837" y="1051560"/>
                        <a:ext cx="0" cy="228600"/>
                      </a:xfrm>
                      <a:prstGeom prst="line">
                        <a:avLst/>
                      </a:prstGeom>
                      <a:ln w="12700">
                        <a:solidFill>
                          <a:srgbClr val="7B7B7B"/>
                        </a:solidFill>
                      </a:ln>
                    </wps:spPr>
                    <wps:bodyPr/>
                  </wps:wsp>
                  <wps:wsp>
                    <wps:cNvPr id="0" name="分支2"/>
                    <wps:cNvSpPr/>
                    <wps:spPr>
                      <a:xfrm>
                        <a:off x="2834638" y="1051560"/>
                        <a:ext cx="0" cy="228600"/>
                      </a:xfrm>
                      <a:prstGeom prst="line">
                        <a:avLst/>
                      </a:prstGeom>
                      <a:ln w="12700">
                        <a:solidFill>
                          <a:srgbClr val="7B7B7B"/>
                        </a:solidFill>
                      </a:ln>
                    </wps:spPr>
                    <wps:bodyPr/>
                  </wps:wsp>
                  <wps:wsp>
                    <wps:cNvPr id="0" name="分支3"/>
                    <wps:cNvSpPr/>
                    <wps:spPr>
                      <a:xfrm>
                        <a:off x="3990439" y="1051560"/>
                        <a:ext cx="0" cy="228600"/>
                      </a:xfrm>
                      <a:prstGeom prst="line">
                        <a:avLst/>
                      </a:prstGeom>
                      <a:ln w="12700">
                        <a:solidFill>
                          <a:srgbClr val="7B7B7B"/>
                        </a:solidFill>
                      </a:ln>
                    </wps:spPr>
                    <wps:bodyPr/>
                  </wps:wsp>
                  <wps:wsp>
                    <wps:cNvPr id="0" name="分支4"/>
                    <wps:cNvSpPr/>
                    <wps:spPr>
                      <a:xfrm>
                        <a:off x="5146240" y="1051560"/>
                        <a:ext cx="0" cy="228600"/>
                      </a:xfrm>
                      <a:prstGeom prst="line">
                        <a:avLst/>
                      </a:prstGeom>
                      <a:ln w="12700">
                        <a:solidFill>
                          <a:srgbClr val="7B7B7B"/>
                        </a:solidFill>
                      </a:ln>
                    </wps:spPr>
                    <wps:bodyPr/>
                  </wps:wsp>
                  <wps:wsp>
                    <wps:cNvPr id="0" name="章1"/>
                    <wps:cNvSpPr/>
                    <wps:spPr>
                      <a:xfrm>
                        <a:off x="0" y="1280160"/>
                        <a:ext cx="1046073" cy="1051560"/>
                      </a:xfrm>
                      <a:prstGeom prst="roundRect">
                        <a:avLst/>
                      </a:prstGeom>
                      <a:solidFill>
                        <a:srgbClr val="D6E4F0"/>
                      </a:solidFill>
                      <a:ln w="9525">
                        <a:solidFill>
                          <a:srgbClr val="1F4E79"/>
                        </a:solidFill>
                      </a:ln>
                    </wps:spPr>
                    <wps:txbx>
                      <w:txbxContent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1F4E79"/>
                              <w:sz w:val="24"/>
                              <w:szCs w:val="24"/>
                            </w:rPr>
                            <w:t xml:space="preserve">第一章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1F4E79"/>
                              <w:sz w:val="24"/>
                              <w:szCs w:val="24"/>
                            </w:rPr>
                            <w:t xml:space="preserve">緒論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color w:val="2C3E50"/>
                              <w:sz w:val="24"/>
                              <w:szCs w:val="24"/>
                            </w:rPr>
                            <w:t xml:space="preserve">動機·RQ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27432" rIns="45720" bIns="27432" anchor="ctr" anchorCtr="0">
                      <a:noAutofit/>
                    </wps:bodyPr>
                  </wps:wsp>
                  <wps:wsp>
                    <wps:cNvPr id="0" name="章2"/>
                    <wps:cNvSpPr/>
                    <wps:spPr>
                      <a:xfrm>
                        <a:off x="1155801" y="1280160"/>
                        <a:ext cx="1046073" cy="1051560"/>
                      </a:xfrm>
                      <a:prstGeom prst="roundRect">
                        <a:avLst/>
                      </a:prstGeom>
                      <a:solidFill>
                        <a:srgbClr val="D5F0E3"/>
                      </a:solidFill>
                      <a:ln w="9525">
                        <a:solidFill>
                          <a:srgbClr val="1A7A50"/>
                        </a:solidFill>
                      </a:ln>
                    </wps:spPr>
                    <wps:txbx>
                      <w:txbxContent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1A7A50"/>
                              <w:sz w:val="24"/>
                              <w:szCs w:val="24"/>
                            </w:rPr>
                            <w:t xml:space="preserve">第二章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1A7A50"/>
                              <w:sz w:val="24"/>
                              <w:szCs w:val="24"/>
                            </w:rPr>
                            <w:t xml:space="preserve">文獻探討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color w:val="2C3E50"/>
                              <w:sz w:val="24"/>
                              <w:szCs w:val="24"/>
                            </w:rPr>
                            <w:t xml:space="preserve">量測·碳匯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27432" rIns="45720" bIns="27432" anchor="ctr" anchorCtr="0">
                      <a:noAutofit/>
                    </wps:bodyPr>
                  </wps:wsp>
                  <wps:wsp>
                    <wps:cNvPr id="0" name="章3"/>
                    <wps:cNvSpPr/>
                    <wps:spPr>
                      <a:xfrm>
                        <a:off x="2311602" y="1280160"/>
                        <a:ext cx="1046073" cy="1051560"/>
                      </a:xfrm>
                      <a:prstGeom prst="roundRect">
                        <a:avLst/>
                      </a:prstGeom>
                      <a:solidFill>
                        <a:srgbClr val="F7E4CF"/>
                      </a:solidFill>
                      <a:ln w="9525">
                        <a:solidFill>
                          <a:srgbClr val="9C5310"/>
                        </a:solidFill>
                      </a:ln>
                    </wps:spPr>
                    <wps:txbx>
                      <w:txbxContent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9C5310"/>
                              <w:sz w:val="24"/>
                              <w:szCs w:val="24"/>
                            </w:rPr>
                            <w:t xml:space="preserve">第三章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9C5310"/>
                              <w:sz w:val="24"/>
                              <w:szCs w:val="24"/>
                            </w:rPr>
                            <w:t xml:space="preserve">系統設計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color w:val="2C3E50"/>
                              <w:sz w:val="24"/>
                              <w:szCs w:val="24"/>
                            </w:rPr>
                            <w:t xml:space="preserve">三支柱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27432" rIns="45720" bIns="27432" anchor="ctr" anchorCtr="0">
                      <a:noAutofit/>
                    </wps:bodyPr>
                  </wps:wsp>
                  <wps:wsp>
                    <wps:cNvPr id="0" name="章4"/>
                    <wps:cNvSpPr/>
                    <wps:spPr>
                      <a:xfrm>
                        <a:off x="3467403" y="1280160"/>
                        <a:ext cx="1046073" cy="1051560"/>
                      </a:xfrm>
                      <a:prstGeom prst="roundRect">
                        <a:avLst/>
                      </a:prstGeom>
                      <a:solidFill>
                        <a:srgbClr val="E8DAF0"/>
                      </a:solidFill>
                      <a:ln w="9525">
                        <a:solidFill>
                          <a:srgbClr val="5E2A87"/>
                        </a:solidFill>
                      </a:ln>
                    </wps:spPr>
                    <wps:txbx>
                      <w:txbxContent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5E2A87"/>
                              <w:sz w:val="24"/>
                              <w:szCs w:val="24"/>
                            </w:rPr>
                            <w:t xml:space="preserve">第四章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5E2A87"/>
                              <w:sz w:val="24"/>
                              <w:szCs w:val="24"/>
                            </w:rPr>
                            <w:t xml:space="preserve">實驗結果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color w:val="2C3E50"/>
                              <w:sz w:val="24"/>
                              <w:szCs w:val="24"/>
                            </w:rPr>
                            <w:t xml:space="preserve">MAPE·R²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27432" rIns="45720" bIns="27432" anchor="ctr" anchorCtr="0">
                      <a:noAutofit/>
                    </wps:bodyPr>
                  </wps:wsp>
                  <wps:wsp>
                    <wps:cNvPr id="0" name="章5"/>
                    <wps:cNvSpPr/>
                    <wps:spPr>
                      <a:xfrm>
                        <a:off x="4623204" y="1280160"/>
                        <a:ext cx="1046073" cy="1051560"/>
                      </a:xfrm>
                      <a:prstGeom prst="roundRect">
                        <a:avLst/>
                      </a:prstGeom>
                      <a:solidFill>
                        <a:srgbClr val="F3D9D6"/>
                      </a:solidFill>
                      <a:ln w="9525">
                        <a:solidFill>
                          <a:srgbClr val="912C22"/>
                        </a:solidFill>
                      </a:ln>
                    </wps:spPr>
                    <wps:txbx>
                      <w:txbxContent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912C22"/>
                              <w:sz w:val="24"/>
                              <w:szCs w:val="24"/>
                            </w:rPr>
                            <w:t xml:space="preserve">第五章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b/>
                              <w:color w:val="912C22"/>
                              <w:sz w:val="24"/>
                              <w:szCs w:val="24"/>
                            </w:rPr>
                            <w:t xml:space="preserve">結論</w:t>
                          </w:r>
                        </w:p>
                        <w:p>
                          <w:pPr>
                            <w:jc w:val="center"/>
                            <w:spacing w:after="0" w:line="240" w:lineRule="auto"/>
                          </w:pPr>
                          <w:r>
                            <w:rPr>
                              <w:rFonts w:ascii="標楷體" w:hAnsi="標楷體" w:eastAsia="標楷體" w:cs="標楷體"/>
                              <w:color w:val="2C3E50"/>
                              <w:sz w:val="24"/>
                              <w:szCs w:val="24"/>
                            </w:rPr>
                            <w:t xml:space="preserve">貢獻·限制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27432" rIns="45720" bIns="27432" anchor="ctr" anchorCtr="0">
                      <a:noAutofit/>
                    </wps:bodyPr>
                  </wps:wsp>
                </wpg:wgp>
              </a:graphicData>
            </a:graphic>
          </wp:inline>
        </w:drawing>
      </w:r>
    </w:p>
    <w:p>
      <w:pPr>
        <w:jc w:val="center"/>
      </w:pPr>
      <w:r>
        <w:t>圖 1-3　論文章節架構</w:t>
      </w:r>
    </w:p>
    <w:sectPr w:rsidR="00FC693F" w:rsidRPr="0006063C" w:rsidSect="00034616">
      <w:headerReference w:type="default" r:id="rId9"/>
      <w:footerReference w:type="default" r:id="rId10"/>
      <w:headerReference w:type="even" r:id="rId11"/>
      <w:footerReference w:type="even" r:id="rId12"/>
      <w:headerReference w:type="first" r:id="rId13"/>
      <w:footerReference w:type="first" r:id="rId14"/>
      <w:titlePg/>
      <w:pgSz w:w="11906" w:h="16838"/>
      <w:pgMar w:top="1417" w:right="1417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er3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A1B2C3D4" w14:textId="A1B2C3D5" w:rsidR="009E578F" w:rsidRDefault="00000000">
    <w:pPr>
      <w:pStyle w:val="a6"/>
      <w:spacing w:before="240" w:after="240"/>
      <w:ind w:firstLine="400"/>
    </w:pPr>
    <w:r>
      <w:rPr>
        <w:rFonts w:ascii="Times New Roman" w:hAnsi="Times New Roman" w:eastAsia="標楷體" w:cs="標楷體"/>
        <w:noProof/>
      </w:rPr>
      <w:pict w14:anchorId="1AE267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atermarkOdd" o:spid="_x0000_s2001" type="#_x0000_t75" style="position:absolute;left:0;text-align:left;margin-left:0;margin-top:0;width:415.25pt;height:415.25pt;z-index:-251658240;mso-position-horizontal:center;mso-position-horizontal-relative:margin;mso-position-vertical:center;mso-position-vertical-relative:margin" o:allowincell="f">
          <v:imagedata r:id="rId1" o:title="NTTULOGO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B1C2D3E4" w14:textId="B1C2D3E5" w:rsidR="009E578F" w:rsidRDefault="00000000">
    <w:pPr>
      <w:pStyle w:val="a6"/>
      <w:spacing w:before="240" w:after="240"/>
      <w:ind w:firstLine="400"/>
    </w:pPr>
    <w:r>
      <w:rPr>
        <w:rFonts w:ascii="Times New Roman" w:hAnsi="Times New Roman" w:eastAsia="標楷體" w:cs="標楷體"/>
        <w:noProof/>
      </w:rPr>
      <w:pict w14:anchorId="1AE267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atermarkEven" o:spid="_x0000_s2002" type="#_x0000_t75" style="position:absolute;left:0;text-align:left;margin-left:0;margin-top:0;width:415.25pt;height:415.25pt;z-index:-251658240;mso-position-horizontal:center;mso-position-horizontal-relative:margin;mso-position-vertical:center;mso-position-vertical-relative:margin" o:allowincell="f">
          <v:imagedata r:id="rId1" o:title="NTTULOGO1"/>
          <w10:wrap anchorx="margin" anchory="margin"/>
        </v:shape>
      </w:pict>
    </w:r>
  </w:p>
</w:hdr>
</file>

<file path=word/header3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  <w:p w14:paraId="A1B2C3D4" w14:textId="A1B2C3D5" w:rsidR="009E578F" w:rsidRDefault="00000000">
    <w:pPr>
      <w:pStyle w:val="a6"/>
      <w:spacing w:before="240" w:after="240"/>
      <w:ind w:firstLine="400"/>
    </w:pPr>
    <w:r>
      <w:rPr>
        <w:rFonts w:ascii="Times New Roman" w:hAnsi="Times New Roman" w:eastAsia="標楷體" w:cs="標楷體"/>
        <w:noProof/>
      </w:rPr>
      <w:pict w14:anchorId="1AE267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atermarkOdd" o:spid="_x0000_s2001" type="#_x0000_t75" style="position:absolute;left:0;text-align:left;margin-left:0;margin-top:0;width:415.25pt;height:415.25pt;z-index:-251658240;mso-position-horizontal:center;mso-position-horizontal-relative:margin;mso-position-vertical:center;mso-position-vertical-relative:margin" o:allowincell="f">
          <v:imagedata r:id="rId1" o:title="NTTULOGO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updateFields w:val="true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 w:ascii="Times New Roman" w:hAnsi="Times New Roman" w:eastAsia="標楷體" w:cs="標楷體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Times New Roman" w:hAnsi="Times New Roman" w:eastAsia="標楷體" w:cs="標楷體"/>
      <w:sz w:val="24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Times New Roman" w:hAnsi="Times New Roman" w:eastAsia="標楷體" w:cs="標楷體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Times New Roman" w:hAnsi="Times New Roman" w:eastAsia="標楷體" w:cs="標楷體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Times New Roman" w:hAnsi="Times New Roman" w:eastAsia="標楷體" w:cs="標楷體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rFonts w:ascii="Times New Roman" w:hAnsi="Times New Roman" w:eastAsia="標楷體" w:cs="標楷體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rFonts w:ascii="Times New Roman" w:hAnsi="Times New Roman" w:eastAsia="標楷體" w:cs="標楷體"/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Times New Roman" w:hAnsi="Times New Roman" w:eastAsia="標楷體" w:cs="標楷體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Times New Roman" w:hAnsi="Times New Roman" w:eastAsia="標楷體" w:cs="標楷體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rFonts w:ascii="Times New Roman" w:hAnsi="Times New Roman" w:eastAsia="標楷體" w:cs="標楷體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rFonts w:ascii="Times New Roman" w:hAnsi="Times New Roman" w:eastAsia="標楷體" w:cs="標楷體"/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rFonts w:ascii="Times New Roman" w:hAnsi="Times New Roman" w:eastAsia="標楷體" w:cs="標楷體"/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rFonts w:ascii="Times New Roman" w:hAnsi="Times New Roman" w:eastAsia="標楷體" w:cs="標楷體"/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rFonts w:ascii="Times New Roman" w:hAnsi="Times New Roman" w:eastAsia="標楷體" w:cs="標楷體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rFonts w:ascii="Times New Roman" w:hAnsi="Times New Roman" w:eastAsia="標楷體" w:cs="標楷體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rFonts w:ascii="Times New Roman" w:hAnsi="Times New Roman" w:eastAsia="標楷體" w:cs="標楷體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rFonts w:ascii="Times New Roman" w:hAnsi="Times New Roman" w:eastAsia="標楷體" w:cs="標楷體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rFonts w:ascii="Times New Roman" w:hAnsi="Times New Roman" w:eastAsia="標楷體" w:cs="標楷體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OC1">
    <w:name w:val="toc 1"/>
    <w:basedOn w:val="Normal"/>
    <w:next w:val="Normal"/>
    <w:uiPriority w:val="39"/>
    <w:semiHidden/>
    <w:unhideWhenUsed/>
    <w:pPr>
      <w:spacing w:after="0"/>
      <w:tabs>
        <w:tab w:val="right" w:leader="dot" w:pos="9360"/>
      </w:tabs>
    </w:pPr>
    <w:rPr>
      <w:rFonts w:ascii="Times New Roman" w:hAnsi="Times New Roman" w:eastAsia="標楷體" w:cs="標楷體"/>
      <w:sz w:val="24"/>
      <w:szCs w:val="24"/>
    </w:rPr>
  </w:style>
  <w:style w:type="paragraph" w:styleId="TOC2">
    <w:name w:val="toc 2"/>
    <w:basedOn w:val="Normal"/>
    <w:next w:val="Normal"/>
    <w:uiPriority w:val="39"/>
    <w:semiHidden/>
    <w:unhideWhenUsed/>
    <w:pPr>
      <w:spacing w:after="0"/>
      <w:ind w:left="240"/>
      <w:tabs>
        <w:tab w:val="right" w:leader="dot" w:pos="9360"/>
      </w:tabs>
    </w:pPr>
    <w:rPr>
      <w:rFonts w:ascii="Times New Roman" w:hAnsi="Times New Roman" w:eastAsia="標楷體" w:cs="標楷體"/>
      <w:sz w:val="22"/>
      <w:szCs w:val="22"/>
    </w:rPr>
  </w:style>
  <w:style w:type="paragraph" w:styleId="TOC3">
    <w:name w:val="toc 3"/>
    <w:basedOn w:val="Normal"/>
    <w:next w:val="Normal"/>
    <w:uiPriority w:val="39"/>
    <w:semiHidden/>
    <w:unhideWhenUsed/>
    <w:pPr>
      <w:spacing w:after="0"/>
      <w:ind w:left="480"/>
      <w:tabs>
        <w:tab w:val="right" w:leader="dot" w:pos="9360"/>
      </w:tabs>
    </w:pPr>
    <w:rPr>
      <w:rFonts w:ascii="Times New Roman" w:hAnsi="Times New Roman" w:eastAsia="標楷體" w:cs="標楷體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 w:ascii="Times New Roman" w:hAnsi="Times New Roman" w:eastAsia="標楷體" w:cs="標楷體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Times New Roman" w:hAnsi="Times New Roman" w:eastAsia="標楷體" w:cs="標楷體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Times New Roman" w:hAnsi="Times New Roman" w:eastAsia="標楷體" w:cs="標楷體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Times New Roman" w:hAnsi="Times New Roman" w:eastAsia="標楷體" w:cs="標楷體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rFonts w:ascii="Times New Roman" w:hAnsi="Times New Roman" w:eastAsia="標楷體" w:cs="標楷體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rFonts w:ascii="Times New Roman" w:hAnsi="Times New Roman" w:eastAsia="標楷體" w:cs="標楷體"/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Times New Roman" w:hAnsi="Times New Roman" w:eastAsia="標楷體" w:cs="標楷體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Times New Roman" w:hAnsi="Times New Roman" w:eastAsia="標楷體" w:cs="標楷體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rFonts w:ascii="Times New Roman" w:hAnsi="Times New Roman" w:eastAsia="標楷體" w:cs="標楷體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rFonts w:ascii="Times New Roman" w:hAnsi="Times New Roman" w:eastAsia="標楷體" w:cs="標楷體"/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rFonts w:ascii="Times New Roman" w:hAnsi="Times New Roman" w:eastAsia="標楷體" w:cs="標楷體"/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rFonts w:ascii="Times New Roman" w:hAnsi="Times New Roman" w:eastAsia="標楷體" w:cs="標楷體"/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rFonts w:ascii="Times New Roman" w:hAnsi="Times New Roman" w:eastAsia="標楷體" w:cs="標楷體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rFonts w:ascii="Times New Roman" w:hAnsi="Times New Roman" w:eastAsia="標楷體" w:cs="標楷體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rFonts w:ascii="Times New Roman" w:hAnsi="Times New Roman" w:eastAsia="標楷體" w:cs="標楷體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rFonts w:ascii="Times New Roman" w:hAnsi="Times New Roman" w:eastAsia="標楷體" w:cs="標楷體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rFonts w:ascii="Times New Roman" w:hAnsi="Times New Roman" w:eastAsia="標楷體" w:cs="標楷體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nttu_watermark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nttu_watermark.png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nttu_watermark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