
<file path=[Content_Types].xml><?xml version="1.0" encoding="utf-8"?>
<Types xmlns="http://schemas.openxmlformats.org/package/2006/content-types">
  <Default Extension="jpeg" ContentType="image/jpeg"/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bookmarkStart w:id="19" w:name="_Toc10018"/>
      <w:r>
        <w:rPr>
          <w:rFonts w:ascii="Times New Roman" w:hAnsi="Times New Roman" w:eastAsia="標楷體" w:cs="標楷體"/>
          <w:sz w:val="28"/>
        </w:rPr>
        <w:t>第三章　設計與發展解決方案</w:t>
      </w:r>
      <w:bookmarkEnd w:id="19"/>
    </w:p>
    <w:p>
      <w:pPr>
        <w:pStyle w:val="Heading2"/>
      </w:pPr>
      <w:bookmarkStart w:id="20" w:name="_Toc10019"/>
      <w:r>
        <w:rPr>
          <w:rFonts w:ascii="Times New Roman" w:hAnsi="Times New Roman" w:eastAsia="標楷體" w:cs="標楷體"/>
        </w:rPr>
        <w:t xml:space="preserve">3.1 問題確認</w:t>
      </w:r>
      <w:bookmarkEnd w:id="20"/>
    </w:p>
    <w:p>
      <w:r>
        <w:rPr>
          <w:rFonts w:ascii="Times New Roman" w:hAnsi="Times New Roman" w:eastAsia="標楷體" w:cs="標楷體"/>
        </w:rPr>
        <w:t>上述三項問題共同指向一個設計機會：能夠在林地現場以低成本完成量測、自動修正系統性偏差、並以不可竄改方式存證的整合系統原型；此專案將此機會定義為 設計科學研究法設計目標，並以 Peffers et al.（2007）六步驟框架驅動從系統設計、實作到評估的完整研究流程。</w:t>
      </w:r>
    </w:p>
    <w:p>
      <w:r>
        <w:rPr>
          <w:rFonts w:ascii="Times New Roman" w:hAnsi="Times New Roman" w:eastAsia="標楷體" w:cs="標楷體"/>
        </w:rPr>
        <w:t>現行碳匯量測體系面臨三項相互關聯的結構性問題，構成此專案的設計動機：其一，量測工具缺口——傳統人工胸高直徑量測依賴測徑帶與游標卡尺，需要林業技術人員逐棵現場操作，在碎片化小型林地（≤ 1 公頃）中難以維持足夠的量測頻率，且無法產生可供稽核的統計不確定性估計；其二，誤差累積問題——現有量測方案缺乏跨時間的系統性誤差追蹤與自動修正機制，長期碳匯估算偏差在量測帳本中靜默累積，直至外部稽核才被識別；其三，記錄可信度問題——紙本或集中式資料庫的碳匯記錄缺乏防竄改機制，難以通過 Verra VM0047（Verra, 2025） 對量測記錄可稽核性的要求，影響碳匯憑證的市場可信度。</w:t>
      </w:r>
    </w:p>
    <w:p>
      <w:pPr>
        <w:pStyle w:val="Heading2"/>
      </w:pPr>
      <w:bookmarkStart w:id="21" w:name="_Toc10020"/>
      <w:r>
        <w:rPr>
          <w:rFonts w:ascii="Times New Roman" w:hAnsi="Times New Roman" w:eastAsia="標楷體" w:cs="標楷體"/>
          <w:sz w:val="26"/>
        </w:rPr>
        <w:t>3.2 系統架構概覽</w:t>
      </w:r>
      <w:bookmarkEnd w:id="21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此專案採用三支柱架構（Three-Pillar Architecture），以 Node.js/Express 為後端框架，SQLite 作為輕量化本地資料庫，Hyperledger Besu 企業私鏈作為不可竄改的存證層。三個支柱分別負責量測精度（支柱一）、誤差自修正（支柱二）與資料可信度（支柱三），對應此專案的三個研究問題 研究問題一、研究問題二 與 研究問題三。系統三支柱的功能分工彙整如表 3-1。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197"/>
        <w:gridCol w:w="2197"/>
        <w:gridCol w:w="2197"/>
        <w:gridCol w:w="2197"/>
      </w:tblGrid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支柱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核心功能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主要技術元件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對應研究問題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支柱一</w:t>
              <w:br/>
              <w:t>影片量測引擎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從手機影片估算胸高直徑</w:t>
              <w:br/>
              <w:t>樹種辨識</w:t>
              <w:br/>
              <w:t>碳儲量計算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FFmpeg（幀擷取）</w:t>
              <w:br/>
              <w:t>Gemini Vision（AI 分析）</w:t>
              <w:br/>
              <w:t>Pl@ntNet + iNaturalist（樹種辨識）</w:t>
              <w:br/>
              <w:t>薄透鏡公式 / 參照物路徑（胸高直徑計算）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研究問題一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支柱二</w:t>
              <w:br/>
              <w:t>修正因子自演進帳本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接收實測回饋</w:t>
              <w:br/>
              <w:t>更新加權修正因子</w:t>
              <w:br/>
              <w:t>快照歷程記錄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ground_truth 資料表</w:t>
              <w:br/>
              <w:t>correction_factor_log 帳本</w:t>
              <w:br/>
              <w:t>加權移動平均演算法（近 30 天 weight=2）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研究問題二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支柱三</w:t>
              <w:br/>
              <w:t>區塊鏈存證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量測記錄上鏈存證</w:t>
              <w:br/>
              <w:t>失敗重試機制</w:t>
              <w:br/>
              <w:t>一致性驗證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CarbonCredit.sol（Solidity 智能合約）</w:t>
              <w:br/>
              <w:t>Hyperledger Besu 拜占庭容錯共識機制私鏈</w:t>
              <w:br/>
              <w:t>blockchain_jobs 佇列</w:t>
              <w:br/>
              <w:t>verify-blockchain.js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研究問題三</w:t>
            </w:r>
          </w:p>
        </w:tc>
      </w:tr>
    </w:tbl>
    <w:p/>
    <w:p>
      <w:pPr>
        <w:jc w:val="center"/>
      </w:pPr>
      <w:r>
        <w:rPr>
          <w:rFonts w:ascii="Times New Roman" w:hAnsi="Times New Roman" w:eastAsia="標楷體" w:cs="標楷體"/>
          <w:sz w:val="22"/>
        </w:rPr>
        <w:t>表 3-1　系統三支柱架構功能分工</w:t>
      </w:r>
    </w:p>
    <w:p/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系統的資料流向為：使用者透過行動端上傳包含樹幹影片的請求→支柱一影片量測引擎進行幀擷取、AI 分析與胸高直徑計算→量測結果寫入 SQLite trees 資料表→支柱三區塊鏈存證服務非同步將記錄上鏈→若使用者提供實測胸高直徑，支柱二修正因子帳本更新加權修正因子→後續量測自動套用最新修正因子，完成循環回饋。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從使用者操作視角，完整量測流程可分為六步驟：（1）於樹旁放置實體參照物，以手機錄製樹幹影片；（2）透過前端介面上傳影片至系統；（3）系統回傳胸高直徑估算值、樹種辨識結果與碳儲量；（4）量測記錄自動上鏈存證，取得交易雜湊；（5）使用者選擇性以捲尺實測胸高直徑，提交回饋觸發修正因子更新；（6）後續量測自動套用更新後的修正因子，實現精度的持續迭代改善。以下各節依序說明三支柱的詳細設計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220000" cy="2889643"/>
            <wp:docPr id="9101" name="fig3-1_pillar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3-1_pillars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8896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圖 3-1　系統三支柱架構與三路徑優先級量測設計</w:t>
      </w:r>
    </w:p>
    <w:p>
      <w:pPr>
        <w:pStyle w:val="Heading2"/>
      </w:pPr>
      <w:bookmarkStart w:id="22" w:name="_Toc10021"/>
      <w:r>
        <w:rPr>
          <w:rFonts w:ascii="Times New Roman" w:hAnsi="Times New Roman" w:eastAsia="標楷體" w:cs="標楷體"/>
          <w:sz w:val="26"/>
        </w:rPr>
        <w:t>3.3 技術環境與設計科學研究法步驟對應</w:t>
      </w:r>
      <w:bookmarkEnd w:id="22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系統技術棧選型以可部署性與開發效率為優先考量：負責後端伺服器非同步運作的 Node.js（v18），適合影片處理的非阻塞流程；負責應用程式介面路由管理的 Express 框架；負責輕量化本地資料儲存的 SQLite（better-sqlite3），無需額外資料庫伺服器；負責影片幀擷取的 FFmpeg；負責提取影片元數據（GPS、焦距、設備型號）的 ExifTool；負責區塊鏈合約互動的 ethers.js；提供靜態前端免費託管服務的 GitHub Pages，作為使用者操作入口。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此專案採用設計科學研究法（Peffers et al., 2007）六步驟框架，所開發之系統屬於 March &amp; Smith（1995）分類中的「實例化（Instantiation）」人工物——即一套可實際部署與操作的資訊系統原型，而非純概念性的構念（Construct）或模型（Model）。各步驟與論文章節的對應關係如表 3-2 所示，確保研究流程具備完整的 設計科學研究法結構。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929"/>
        <w:gridCol w:w="2929"/>
        <w:gridCol w:w="2929"/>
      </w:tblGrid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設計科學研究法步驟（Peffers et al., 2007）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此專案對應內容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論文章節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Step 1：問題識別與動機建構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識別胸高直徑量測缺口、修正機制缺失、碳匯存證不足三項問題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第一章 1.1–1.2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Step 2：界定目標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定義三個研究問題 與 平均絕對百分比誤差 ≤ 25% 精度目標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第一章 1.2–1.3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Step 3：設計與開發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實作三支柱平台：量測引擎、修正因子帳本、區塊鏈存證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第三章 3.3–3.6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Step 4：示範應用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田野量測 32 棵（有效分析樣本 31 棵）樣本樹，上傳影片完整走過量測流程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第四章 4.1–4.2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Step 5：效益評估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平均絕對誤差/平均絕對百分比誤差/R²、Bootstrap 95% 信賴區間、Hevner 七項準則評分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第四章 4.3–4.5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Step 6：推廣溝通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MDPI Forests 投稿、GitHub 開源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第五章 5.3</w:t>
            </w:r>
          </w:p>
        </w:tc>
      </w:tr>
    </w:tbl>
    <w:p/>
    <w:p>
      <w:pPr>
        <w:jc w:val="center"/>
      </w:pPr>
      <w:r>
        <w:rPr>
          <w:rFonts w:ascii="Times New Roman" w:hAnsi="Times New Roman" w:eastAsia="標楷體" w:cs="標楷體"/>
          <w:sz w:val="22"/>
        </w:rPr>
        <w:t>表 3-2　設計科學研究法六步驟與此專案章節對應</w:t>
      </w:r>
    </w:p>
    <w:p/>
    <w:p>
      <w:pPr>
        <w:pStyle w:val="Heading2"/>
      </w:pPr>
      <w:bookmarkStart w:id="23" w:name="_Toc10022"/>
      <w:r>
        <w:rPr>
          <w:rFonts w:ascii="Times New Roman" w:hAnsi="Times New Roman" w:eastAsia="標楷體" w:cs="標楷體"/>
          <w:sz w:val="26"/>
        </w:rPr>
        <w:t>3.4 支柱一：影片量測引擎</w:t>
      </w:r>
      <w:bookmarkEnd w:id="23"/>
    </w:p>
    <w:p>
      <w:pPr>
        <w:pStyle w:val="Heading3"/>
      </w:pPr>
      <w:bookmarkStart w:id="24" w:name="_Toc10023"/>
      <w:r>
        <w:rPr>
          <w:rFonts w:ascii="Times New Roman" w:hAnsi="Times New Roman" w:eastAsia="標楷體" w:cs="標楷體"/>
          <w:sz w:val="24"/>
        </w:rPr>
        <w:t>3.4.1 影片接收與幀擷取</w:t>
      </w:r>
      <w:bookmarkEnd w:id="24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使用者透過 POST /api/upload 上傳影片（支援 MP4、MOV 格式）。系統首先計算影片的 安全雜湊演算法-256 雜湊值進行去重檢查，防止重複量測同一影片。通過去重後，負責提取影片元數據的 ExifTool，包含拍攝設備型號、焦距（focal length）與 GPS 座標；設備型號用於查詢感光元件尺寸資料庫（sensorDb.js），取得對應的感光元件實體寬度（sensor width, mm）。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幀擷取模組採用以影像視覺庫（OpenCV，cv2.VideoCapture）為核心的 detect_card.py 腳本，以每秒 2 幀（2fps）的速率均勻掃描整支影片，輸出全部候選幀並對每幀計算清晰度分數。清晰度評分採用 Laplacian variance（Pertuz et al., 2013）——對灰階影像套用離散 Laplacian 卷積核（cv2.Laplacian）後取像素變異數，值越高代表影像邊緣越清晰；此指標在戶外逆光等非均勻光源下仍具良好區分能力。取幀結果依下游路徑分流：（一）路徑 A 取幀——系統篩選出所有偵測到名片或參照物的幀（cardFrames），依正交性（isOrthogonal，即名片與鏡頭平面平行）優先、相同正交性下以 Laplacian variance 分數由高至低排序，取前 3 幀送入 Gemini 進行比例運算；（二）路徑 0 / B 取幀——從全部幀依時序均勻間隔取出 5 幀（selectRegularFrames，步距 = (總幀數 − 1) / 4），送入 Gemini 進行光學字元辨識（OCR）直讀或薄透鏡公式計算。最終傳入 Gemini 的影像數量固定為每路徑最多 5 幀；AI 模型負責影像內容分析，幀的選取由 Python 腳本決定。</w:t>
      </w:r>
    </w:p>
    <w:p>
      <w:pPr>
        <w:pStyle w:val="Heading3"/>
      </w:pPr>
      <w:bookmarkStart w:id="25" w:name="_Toc10024"/>
      <w:r>
        <w:rPr>
          <w:rFonts w:ascii="Times New Roman" w:hAnsi="Times New Roman" w:eastAsia="標楷體" w:cs="標楷體"/>
          <w:sz w:val="24"/>
        </w:rPr>
        <w:t>3.4.2 AI 視覺分析與胸高直徑計算</w:t>
      </w:r>
      <w:bookmarkEnd w:id="25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此專案使用負責 AI 視覺辨識的 Gemini Flash Vision 模型，將前述選出的 5 幀影像批次傳入，以結構化 JSON Schema 作為 prompt 要求模型回傳以下欄位：trunkPixelWidth（樹幹像素寬度）、distanceMeters（估算物距）、referenceDetected（是否偵測到參照物）、referenceType（參照物類型）、referencePixelWidth（參照物像素寬度）。格式錯誤時系統自動重試一次，確保回傳值符合後續計算需求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胸高直徑計算採用三路徑優先級路徑設計（圖 3-1）。系統依輸入影像中可資利用的視覺線索強度，依序嘗試由高至低三條估算路徑，每一幀獨立判斷該幀可用之最高等級路徑後，再以跨幀聚合機制確定最終量測值，使量測流程在不同現地條件下皆有對應路徑可循。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【路徑 0：光學字元辨識（OCR）直讀路徑（最高優先）】當操作者於樹幹上貼附量尺、捲尺或刻度貼紙時，負責影像文字辨識的 Gemini Vision 直接讀取影像中的數字標示與單位（公分或英吋），以光學字元辨識（OCR）取得量測值。系統以直接量測信心分數（directMeasurementConfidence）≥ 0.5 作為各幀讀數的採用門檻，並對五幀讀數以相對差 10% 為閾值進行貪心聚類，取最大群聚之中位數作為跨幀代表值，排除個別幀因角度、反光或裁切所造成的光學字元辨識（OCR）誤讀（詳細演算法見 3.4.2.2 節）。此路徑直接消除距離估算、感光元件規格與比例換算三層不確定性來源，量測精度等級自動判斷為高精度。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【路徑 A：參照物比例路徑（次優先）】當光學字元辨識（OCR）路徑不可用，而影像中成功辨識出系統支援之 11 類實體參照物之一（含信用卡、名片、A4／A5 紙張、B5 筆記本、30 cm／100 cm 量尺、新台幣 100／500／1000 元紙鈔，以及可由 Gemini 估計尺寸之 unknown 類；完整規格詳見第二章表 2-1），且系統判定 referenceAtTrunk = true（即參照物實際貼附於樹幹平面上）、referenceConfidence ≥ 0.4 時，採用比例尺換算：</w:t>
      </w:r>
    </w:p>
    <w:p>
      <w:pPr>
        <w:spacing w:after="120"/>
        <w:jc w:val="center"/>
      </w:pPr>
      <w:r>
        <w:rPr>
          <w:rFonts w:ascii="Times New Roman" w:hAnsi="Times New Roman" w:eastAsia="標楷體" w:cs="標楷體"/>
          <w:b/>
          <w:sz w:val="22"/>
        </w:rPr>
        <w:t>胸高直徑 (mm) = (trunkPixelWidth / referencePixelWidth) × referenceActualWidth (mm)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referenceAtTrunk 條件作為隱式品質控制（implicit QC）——避免參照物與目標物因前後景距離差異所造成之尺度偏差，此設計不需仰賴操作者完整理解協議即能濾除錯誤量測，相關設計理念於 3.4.2 節 「漸進降級」段落進一步說明。系統另檢查樹幹寬度比例（trunkWidthFraction）&lt; 0.8，避免樹幹超出畫面導致像素寬度被截斷。參照物路徑以純比例關係計算，焦距與感光元件尺寸在比值運算中自然消除，使量測結果與拍攝設備型號無關，因此量測精度等級亦自動判斷為高精度。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【路徑 B：薄透鏡公式路徑（最終備援方案）】當前兩條路徑均不可用——影像內既無可讀取之刻度數字、亦無符合 QC 條件之參照物——系統採用薄透鏡公式作為最終備援：</w:t>
      </w:r>
    </w:p>
    <w:p>
      <w:pPr>
        <w:spacing w:after="120"/>
        <w:jc w:val="center"/>
      </w:pPr>
      <w:r>
        <w:rPr>
          <w:rFonts w:ascii="Times New Roman" w:hAnsi="Times New Roman" w:eastAsia="標楷體" w:cs="標楷體"/>
          <w:b/>
          <w:sz w:val="22"/>
        </w:rPr>
        <w:t>胸高直徑 (mm) = trunkPixelWidth × (sensorWidth / imagePixels) × (distanceMeters × 1000 / focalLength)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其中 sensorWidth 為感光元件實體寬度（mm），imagePixels 為影像水平像素數，focalLength 為焦距（mm）。公式推導依據薄透鏡公式：當物距 d_o 遠大於焦距 f 時，像距 d_i ≈ f，因此實物尺寸與像素尺寸的比值約等於 d_o / f（詳見第二章 2.3 節）。薄透鏡路徑須依賴負責讀取設備規格的 ExifTool，設備資料庫未涵蓋的型號將退化為估算值，量測精度等級判斷為中精度或低精度，由修正因子機制持續補償。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路徑 0 與路徑 A 完成量測後，系統自動將估算值與真實值寫入 ground_truth 資料表（source = "ocr" 或 "reference"），成為支柱二修正因子帳本的訓練樣本。累積足夠樣本後，帳本更新的修正因子套用於後續的薄透鏡路徑量測，形成「高精度路徑持續校正低精度路徑」之跨支柱自演進迴路。此優先級結構同時為系統提供漸進降級（graceful degradation）能力：高品質輸入（樹幹刻度）對應 Path 0 高精度結果，中等輸入（參照物在場）對應 Path A 中精度結果，最低輸入仍可由 Path B 產出可用估算值。此設計理念之背景動機與評估準則對應於 3.4.2 節進一步說明；Path 0 跨幀群聚之 clusterByRelativeDiff 演算法則於 3.4.2.2 節展開。</w:t>
      </w:r>
    </w:p>
    <w:p>
      <w:pPr>
        <w:pStyle w:val="Heading3"/>
      </w:pPr>
      <w:bookmarkStart w:id="26" w:name="_Toc10025"/>
      <w:r>
        <w:rPr>
          <w:rFonts w:ascii="Times New Roman" w:hAnsi="Times New Roman" w:eastAsia="標楷體" w:cs="標楷體"/>
          <w:sz w:val="24"/>
        </w:rPr>
        <w:t>3.4.2.1 設計理念：漸進降級（graceful degradation）</w:t>
      </w:r>
      <w:bookmarkEnd w:id="26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林地拍攝條件具有高度不可預測性：光線強弱、樹幹距離、操作者協議遵循度與設備規格在不同樣區間落差顯著。若量測流程仰賴單一最佳條件下之演算法（如僅以薄透鏡公式並要求精確物距），則任何條件未達標皆會使流程停擺，量測結果於「精確值」與「無結果」之間二分。此種 全有全無設計於現地實作上難以持續產出可用資料，亦未充分對應 Hevner 等人（2004）七項準則之第六項「設計為搜索過程」（design as a search process）所主張之迭代探索取向。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此專案於 3.4.2 節提出之三路徑優先級路徑，其核心設計理念為漸進降級——系統不要求所有輸入條件同時達標，而是依每一幀可用之視覺線索逐步嘗試由高至低三條估算路徑，使輸入品質與輸出品質呈正向對應，而非全有全無。樹幹貼附量尺時 Path 0 觸發，量測精度等級為高精度；僅有參照物且符合 referenceAtTrunk 條件時 Path A 觸發，量測精度等級為高精度；兩者皆缺、僅能仰賴 EXIF 元數據與設備資料庫時 Path B 觸發，精度等級為中精度或低精度。Path B 之低精度結果並非被捨棄，而是進入修正因子帳本，由 Path 0／A 之高精度樣本透過跨支柱迴路持續校正。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此設計呼應 March 與 Smith（1995）設計科學研究法評估類型分類中「相對品質」（relative quality）之原則——資訊系統設計研究不以單一絕對精度門檻評斷成敗，而是觀察系統於現實條件變動下能否持續提供有意義之輸出。Peffers 等人（2007）設計科學研究法六步驟中 「設計與開發」（design and development）階段所強調之迭代搜索亦支持此取向：當輸入空間異質時，較佳之設計往往不是單一最優演算法，而是一組覆蓋條件光譜之演算法及其優先級規則。</w:t>
      </w:r>
    </w:p>
    <w:p>
      <w:pPr>
        <w:pStyle w:val="Heading3"/>
      </w:pPr>
      <w:bookmarkStart w:id="27" w:name="_Toc10026"/>
      <w:r>
        <w:rPr>
          <w:rFonts w:ascii="Times New Roman" w:hAnsi="Times New Roman" w:eastAsia="標楷體" w:cs="標楷體"/>
          <w:sz w:val="24"/>
        </w:rPr>
        <w:t>3.4.2.2 群聚演算法：clusterByRelativeDiff</w:t>
      </w:r>
      <w:bookmarkEnd w:id="27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在說明演算法步驟之前，先以一個具體情境說明為什麼需要群聚。操作者以手機環繞樹幹拍攝時，鏡頭可能在同一段影片中掃過量尺的不同位置——例如 5 幀裡有 3 幀讀到樹幹胸高位置的刻度「28 cm」，另外 2 幀讀到量尺偏下段的刻度「55 cm」。若直接取 5 幀 OCR 讀數的中位數，結果會落在兩者之間，產生一個無法對應任何真實量測位置的假值。clusterByRelativeDiff 的作用是先把讀數分群（互差不超過 10% 的歸同一群），取最大群的中位數作為代表值——在此例中即取 3 幀「28 cm」群的中位數，自動排除 2 幀「55 cm」的干擾，回傳正確的胸高位置量測值。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3.4.2 節已述 Path 0 於跨幀以 clusterByRelativeDiff 演算法取代簡單中位數作為代表值。需要群聚之根本原因在於：當操作者以手機環繞樹幹拍攝、或鏡頭橫掃過量尺刻度時，五幀光學字元辨識（OCR）讀數可能對應到量尺上不同實際位置之數值——例如其中三幀讀到樹幹直徑位置之刻度、另兩幀讀到偏離量測點之刻度數字。若直接取五幀中位數，將產生介於不同真實值之間之假值，無法反映任一筆真實量測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clusterByRelativeDiff 之具體步驟如下：（一）將 N 幀光學字元辨識（OCR）讀數由小至大排序為 v₁ ≤ v₂ ≤ … ≤ v_N；（二）以 10% 相對差為閾值由小至大貪心聚類（greedy clustering，即逐筆依序判斷且不回溯之線性聚類策略）——若相鄰兩讀數之相對差 (v_{i+1} − v_i) / v_i ≤ 0.10，則 v_{i+1} 歸入 v_i 所屬群集，否則開啟新群集；（三）選取成員數最多之群集 C*；若有同數最大群集，取數值較高者，避免被遮蔽或裁切之低值樣本主導；（四）回傳 C* 之中位數作為跨幀代表值，並以「採用 m 幀於 N 幀中」之比例回報採用率，供品質紀錄欄位記錄。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10% 閾值之設定考量如下：此專案目標胸高直徑範圍約落於 5–80 cm 區間，10% 相對差對應 5–8 mm 之絕對差距——此尺度足以區分量尺上不同實際刻度位置（一般量尺最小刻距為 1 cm），但不會將同一量測下因光學字元辨識（OCR）識別抖動或角度變化所造成之輕微讀數浮動誤分為不同群集。以五幀讀數 [28.5, 29.2, 30.1, 31.0, 68.0] cm 為例：相鄰相對差依序為 2.5%、3.1%、3.0%、119.4%，前四筆歸入同群集（4 個成員），最後一筆獨立成群（1 個成員），系統取大群中位數 (29.2 + 30.1) / 2 = 29.65 cm 作為代表值，丟棄 68.0 cm 之離群讀數。此機制對應 Hevner 七項準則第五項（研究嚴謹性）——以可重現之確定性演算法處理多幀量測，避免將跨幀整合留給後處理人員之主觀判斷。</w:t>
      </w:r>
    </w:p>
    <w:p>
      <w:pPr>
        <w:pStyle w:val="Heading3"/>
      </w:pPr>
      <w:bookmarkStart w:id="28" w:name="_Toc10027"/>
      <w:r>
        <w:rPr>
          <w:rFonts w:ascii="Times New Roman" w:hAnsi="Times New Roman" w:eastAsia="標楷體" w:cs="標楷體"/>
          <w:sz w:val="24"/>
        </w:rPr>
        <w:t>3.4.3 樹種辨識與碳儲量計算</w:t>
      </w:r>
      <w:bookmarkEnd w:id="28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樹種辨識採用負責植物辨識的 Pl@ntNet 應用程式介面與負責物種辨識的 iNaturalist Computer Vision 應用程式介面並行呼叫（Promise.all，兩個請求不互相阻塞）。雙來源投票機制如下：若兩平台辨識結果屬同一屬（genus），取信心分數較高者為最終辨識結果；屬不同屬時，取較高分結果並標記為「需確認」，回傳候選清單供使用者確認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確認樹種後，系統查詢樹種係數資料庫模組（formulaDb.js）中預存的台灣主要造林樹種係數表，依 H-D 冪次關係式估算樹高（H = hdA × 胸高直徑^hdB），再以冪次函數材積公式計算材積（V）：</w:t>
      </w:r>
    </w:p>
    <w:p>
      <w:pPr>
        <w:spacing w:after="120"/>
        <w:jc w:val="center"/>
      </w:pPr>
      <w:r>
        <w:rPr>
          <w:rFonts w:ascii="Times New Roman" w:hAnsi="Times New Roman" w:eastAsia="標楷體" w:cs="標楷體"/>
          <w:b/>
          <w:sz w:val="22"/>
        </w:rPr>
        <w:t>V = volA × 胸高直徑^volB × H^volC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其中 volA、volB、volC 為樹種特定係數，各係數均依樹種查表取得（如樟樹：volA = 0.00005、volB = 1.9、volC = 0.9）。碳儲量計算鏈依 IPCC（2003）標準：地上生物量（AGB）= V × 木材密度（wood density）；總生物量 = 地上生物量（AGB） × (1 + 根冠比)；碳儲量（kg C）= 總生物量 × BEF × 0.5。計算結果寫入 trees 資料表的 carbon_kg 欄位。</w:t>
      </w:r>
    </w:p>
    <w:p>
      <w:pPr/>
      <w:r>
        <w:rPr>
          <w:rFonts w:ascii="Times New Roman" w:hAnsi="Times New Roman" w:eastAsia="標楷體" w:cs="標楷體"/>
          <w:sz w:val="26"/>
        </w:rPr>
        <w:t>值得注意的是，系統所採用之 H-D 冪次係數均來自台灣林務局針對山地人工造林樣區之調查。山地密植林分因光源競爭，樹木傾向垂直生長，同一 DBH 條件下樹高顯著高於平地或都市樹木。以樟樹（hdA = 4.2，hdB = 0.55）為例，DBH = 30 cm 之平地樟樹實測樹高約 10–15 m，但 H-D 公式估算值約為 28.6 m，高估幅度達 90%–180%；相思樹（hdA = 3.8，hdB = 0.58）DBH = 25 cm 時，公式估算 24.9 m，平地實測約 8–12 m，同樣大幅高估。Dashboard 展示樣本中亦可觀察到此現象——隨機抽取一筆平地量測記錄，樹高欄位所顯示的數值往往明顯偏高。此偏估不影響此專案主結論（MAPE 係針對胸高直徑 DBH 計算，不涉及樹高估算精度），但碳儲量推算對平地樹種存在系統性高估，屬本系統現有侷限之一，詳見 5.5 節未來改善方向。</w:t>
      </w:r>
    </w:p>
    <w:p>
      <w:pPr>
        <w:pStyle w:val="Heading2"/>
      </w:pPr>
      <w:bookmarkStart w:id="29" w:name="_Toc10028"/>
      <w:r>
        <w:rPr>
          <w:rFonts w:ascii="Times New Roman" w:hAnsi="Times New Roman" w:eastAsia="標楷體" w:cs="標楷體"/>
          <w:sz w:val="26"/>
        </w:rPr>
        <w:t>3.5 支柱二：修正因子自演進帳本</w:t>
      </w:r>
      <w:bookmarkEnd w:id="29"/>
    </w:p>
    <w:p>
      <w:pPr>
        <w:pStyle w:val="Heading3"/>
      </w:pPr>
      <w:bookmarkStart w:id="30" w:name="_Toc10029"/>
      <w:r>
        <w:rPr>
          <w:rFonts w:ascii="Times New Roman" w:hAnsi="Times New Roman" w:eastAsia="標楷體" w:cs="標楷體"/>
          <w:sz w:val="24"/>
        </w:rPr>
        <w:t>3.5.1 地面實況資料收集</w:t>
      </w:r>
      <w:bookmarkEnd w:id="30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修正因子帳本的資料來源有兩個觸發路徑：其一為參照物自動寫入——每次含參照物的量測完成後，系統以 source = "reference" 自動寫入 ground_truth 資料表，記錄系統估算值（estimated_dbh_cm）與參照物換算值（actual_dbh_cm）的差異；其二為使用者手動回報——研究人員以捲尺實測胸高直徑後，透過 POST /api/ground-truth 端點回報，source = "manual"。每筆 ground_truth 記錄自動計算 correction_factor = actual_dbh / estimated_dbh。</w:t>
      </w:r>
    </w:p>
    <w:p>
      <w:pPr>
        <w:pStyle w:val="Heading3"/>
      </w:pPr>
      <w:bookmarkStart w:id="31" w:name="_Toc10030"/>
      <w:r>
        <w:rPr>
          <w:rFonts w:ascii="Times New Roman" w:hAnsi="Times New Roman" w:eastAsia="標楷體" w:cs="標楷體"/>
          <w:sz w:val="24"/>
        </w:rPr>
        <w:t>3.5.2 加權修正因子計算與快照機制</w:t>
      </w:r>
      <w:bookmarkEnd w:id="31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系統以樹種為單位維護修正因子。加權平均計算規則如下：近 30 天內的量測記錄賦予雙倍權重（weight = 2），30 天前的記錄權重為 1，強調近期量測對修正因子的影響，使因子隨時間自動適應設備或操作條件的變化。當某樹種的累積實測樣本數達到 5 筆時，系統觸發快照（snapshot）機制，將當前修正因子值、樣本數、標準差與觸發來源（triggered_by）寫入 correction_factor_log 資料表，形成可追溯的演進帳本。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此設計確保修正因子具備事件驅動的更新節奏：樣本不足時使用預設因子（1.0，即不修正）；樣本充足後自動採用學習後的修正因子，並在每筆 trees 記錄中同時保存修正前的原始值（original_dbh_cm）與套用的因子（applied_correction_factor），確保研究可回溯演進前後的差異，對應 研究問題二 的偏差比較分析。</w:t>
      </w:r>
    </w:p>
    <w:p>
      <w:pPr>
        <w:pStyle w:val="Heading2"/>
      </w:pPr>
      <w:bookmarkStart w:id="32" w:name="_Toc10031"/>
      <w:r>
        <w:rPr>
          <w:rFonts w:ascii="Times New Roman" w:hAnsi="Times New Roman" w:eastAsia="標楷體" w:cs="標楷體"/>
          <w:sz w:val="26"/>
        </w:rPr>
        <w:t>3.6 支柱三：區塊鏈存證</w:t>
      </w:r>
      <w:bookmarkEnd w:id="32"/>
    </w:p>
    <w:p>
      <w:pPr>
        <w:pStyle w:val="Heading3"/>
      </w:pPr>
      <w:bookmarkStart w:id="33" w:name="_Toc10032"/>
      <w:r>
        <w:rPr>
          <w:rFonts w:ascii="Times New Roman" w:hAnsi="Times New Roman" w:eastAsia="標楷體" w:cs="標楷體"/>
          <w:sz w:val="24"/>
        </w:rPr>
        <w:t>3.6.1 CarbonCredit.sol 智能合約設計</w:t>
      </w:r>
      <w:bookmarkEnd w:id="33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CarbonCredit.sol 以用來撰寫以太坊智能合約的 Solidity 程式語言撰寫，部署於 Hyperledger Besu 拜占庭容錯共識機制私鏈（Chain ID: 1337）。合約主要設計如下：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【狀態變數】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uint256 public measurementCount;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mapping(uint256 =&gt; Measurement) public measurements;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address public owner;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【結構體】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struct Measurement {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string  gps;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string  species;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 dbhMm;                 // 胸高直徑（毫米）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 volumeCm3x100;          // 材積 × 100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 carbonG;               // 碳儲量（克）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bytes32 videoHash;             // 影片 安全雜湊演算法-256 雜湊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uint256 timestamp;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uint256 localTreeId;           // SQLite trees.id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 originalDbhMm;         // 修正前原始估算值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 correctionFactorX10000; // 修正因子 × 10000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}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【存取控制】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modifier onlyOwner() {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require(msg.sender == owner, "CarbonCredit: not authorized");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_;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}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【主要函式】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function recordMeasurement(string gps, string species, uint32 dbhMm,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volumeCm3x100, uint32 carbonG, bytes32 videoHash,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uint256 localTreeId, uint32 originalDbhMm,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correctionFactorX10000) external onlyOwner returns (uint256)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function getMeasurement(uint256 id) external view returns (Measurement memory)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【事件】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>event MeasurementRecorded(uint256 indexed id, string gps, string species,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dbhMm, uint32 volumeCm3x100, uint32 carbonG, bytes32 videoHash,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uint256 timestamp, uint256 localTreeId,</w:t>
      </w:r>
    </w:p>
    <w:p>
      <w:pPr>
        <w:spacing w:after="80"/>
        <w:ind w:left="720"/>
      </w:pPr>
      <w:r>
        <w:rPr>
          <w:rFonts w:ascii="Times New Roman" w:hAnsi="Times New Roman" w:eastAsia="標楷體" w:cs="標楷體"/>
          <w:sz w:val="20"/>
        </w:rPr>
        <w:t xml:space="preserve">    uint32 originalDbhMm, uint32 correctionFactorX10000);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合約設計針對三項關鍵缺口進行補強：其一，recordMeasurement 函式採 onlyOwner 存取控制，結合 Hyperledger Besu 許可制私鏈，雙重確保僅授權節點可寫入，防止任意帳號偽造量測記錄（Gap 1：寫入權限管控）；其二，本地樹木識別碼（localTreeId）欄位將鏈上記錄與本地 SQLite trees.id 關聯，支援 verify-blockchain.js 逐筆交叉比對，確保鏈上數據與本地資料庫一致（Gap 2：鏈上鏈下可比對）；其三，originalDbhMm 與 correctionFactorX10000 同時上鏈，保存修正前原始估算值與套用的修正因子，使演進歷程在鏈上完整留存（Gap 3：修正前後數據均上鏈）。此外，MeasurementRecorded 事件含 volumeCm3x100 等完整量測欄位，使稽核者僅讀取事件即可重建完整量測值，無需另行查詢合約儲存。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技術實作上，合約採用 uint32 整數儲存胸高直徑（單位：毫米）與碳儲量（單位：克），以 volumeCm3x100（× 100）記錄材積，以 correctionFactorX10000（× 10000，10000 代表 1.0000）記錄修正因子，全面避免 Solidity 不支援浮點數所造成的精度問題。videoHash 儲存影片 安全雜湊演算法-256 雜湊，確保上鏈記錄與原始影片的可追溯性。</w:t>
      </w:r>
    </w:p>
    <w:p>
      <w:pPr>
        <w:pStyle w:val="Heading3"/>
      </w:pPr>
      <w:bookmarkStart w:id="34" w:name="_Toc10033"/>
      <w:r>
        <w:rPr>
          <w:rFonts w:ascii="Times New Roman" w:hAnsi="Times New Roman" w:eastAsia="標楷體" w:cs="標楷體"/>
          <w:sz w:val="24"/>
        </w:rPr>
        <w:t>3.6.2 上鏈流程與失敗重試機制</w:t>
      </w:r>
      <w:bookmarkEnd w:id="34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blockchain_jobs 是此專案設計的非同步任務佇列資料表。系統量測完成後不直接呼叫區塊鏈——考量上鏈操作可能因網路延遲或節點短暫離線而失敗——而是先將待上鏈任務寫入此表，由背景服務定時處理。每筆記錄追蹤 tx_status（pending / confirmed / failed）、retry_count、tx_hash 等狀態欄位，使上鏈流程與量測主流程解耦，量測結果不因上鏈延遲而阻塞。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量測完成後，系統在 trees 資料表寫入記錄的同時，於 blockchain_jobs 資料表建立一筆待上鏈任務（tx_status = "pending"）。非同步上鏈服務呼叫 CarbonCredit.sol 的 recordMeasurement 函式，成功後將交易雜湊（tx_hash）與狀態（tx_status = "confirmed"）更新至 blockchain_jobs。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若 Besu 節點不可達或交易失敗，系統記錄重試次數（retry_count）並設定上次嘗試時間（last_attempted_at），每 5 分鐘定時重試待處理任務（最多重試 5 次）。此設計確保在節點短暫離線的情況下，量測記錄不會永久遺失，符合企業私鏈的高可用性需求。</w:t>
      </w:r>
    </w:p>
    <w:p>
      <w:pPr>
        <w:pStyle w:val="Heading3"/>
      </w:pPr>
      <w:bookmarkStart w:id="35" w:name="_Toc10034"/>
      <w:r>
        <w:rPr>
          <w:rFonts w:ascii="Times New Roman" w:hAnsi="Times New Roman" w:eastAsia="標楷體" w:cs="標楷體"/>
          <w:sz w:val="24"/>
        </w:rPr>
        <w:t>3.6.3 Hyperledger Besu 技術配置</w:t>
      </w:r>
      <w:bookmarkEnd w:id="35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此專案選用拜占庭容錯共識機制（Quorum Byzantine Fault Tolerance）作為共識機制，原因在於拜占庭容錯共識機制 提供確定性最終性（deterministic finality）：區塊一旦出塊即為最終確認，不存在分叉回滾風險，確保量測記錄上鏈後即不可撤銷，直接支持 研究問題三 對「不可篡改」的主張。相較於 工作量證明 鏈須等待多個區塊確認的概率性保證，拜占庭容錯共識機制 的確定性更適合碳匯存證情境。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採用許可制私鏈（permissioned private chain）的設計考量如下：田野研究人員無需持有加密貨幣，不受 gas 費用影響，降低實際部署門檻；鏈上資料僅限授權節點寫入，符合林業碳匯資料的管理規範；私鏈出塊速度可控，15 秒出塊頻率足以應付田野量測的非即時上鏈需求。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節點配置為三節點私鏈：一個 bootnode（us-east1-b）與兩個 member 節點（us-central1-a、us-west1-b），部署於 Google Cloud Platform。拜占庭容錯共識機制 在三節點情境下能容忍最多一個節點離線（拜占庭容錯 容錯閾值 f = (n-1)/3）。合約部署透過 scripts/deploy.js 自動執行，合約地址自動寫入 .env 環境變數。</w:t>
      </w:r>
    </w:p>
    <w:p>
      <w:pPr>
        <w:ind w:firstLine="480"/>
      </w:pPr>
      <w:r>
        <w:t xml:space="preserve">區塊鏈存證之上鏈時序如圖 3-2 所示。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220000" cy="2970000"/>
            <wp:docPr id="9102" name="fig3-2_blockchai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3-2_blockchain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7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圖 3-2　區塊鏈存證上鏈時序</w:t>
      </w:r>
    </w:p>
    <w:p>
      <w:pPr>
        <w:pStyle w:val="Heading3"/>
      </w:pPr>
      <w:bookmarkStart w:id="36" w:name="_Toc10035"/>
      <w:r>
        <w:rPr>
          <w:rFonts w:ascii="Times New Roman" w:hAnsi="Times New Roman" w:eastAsia="標楷體" w:cs="標楷體"/>
          <w:sz w:val="24"/>
        </w:rPr>
        <w:t>3.6.4 應用程式介面服務部署與守護</w:t>
      </w:r>
      <w:bookmarkEnd w:id="36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負責後端伺服器的 Node.js 應用程式介面服務（forest-carbon-measurement）採用單機共置部署架構，與 Besu bootnode 共用同一台 Google 雲端運算平台 VM 主機（us-east1-b zone）。此配置使應用程式介面服務透過 localhost 直接連接區塊鏈節點的 JSON-RPC 端點（http://127.0.0.1:8545），消除跨主機網路延遲，同時簡化部署拓撲。前端與後端採取雙路徑部署策略：靜態前端託管於 GitHub Pages，透過負責自動化部署的 GitHub Actions 工作流程（.github/workflows/deploy-pages.yml）在每次推送至 master 分支時自動觸發發佈；動態後端則由 VM 端拉取式部署腳本 deploy.sh 負責更新，兩條路徑各自獨立，前端發佈不會影響應用程式介面服務運作。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deploy.sh 的核心設計理念為冪等性檢查（idempotency check）：腳本執行時先記錄 git pull 前的提交雜湊（BEFORE=$(git rev-parse HEAD)），拉取遠端 master 分支後再次取得當前雜湊（AFTER），若兩者相同則直接退出而不重啟服務，避免無變更時的不必要中斷；若有新提交，再透過 git diff 判斷 package.json 是否變動，僅在依賴有更新時執行 npm install --omit=dev，最後呼叫 pm2 restart 重啟應用程式介面服務。所有部署事件（無變更、有變更、重啟完成）皆附加時間戳寫入 ~/deploy.log，提供部署歷程可追溯性，符合 Hevner 第七項指引（研究溝通）對工程可重現性的要求。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負責 Node.js 程序守護管理的 PM2（Node.js process manager）承擔應用程式介面服務的程序守護職責，涵蓋三個層面：常駐執行使 forest-carbon 服務在 VM 重啟後自動拉起；崩潰自動重啟確保偶發例外（如外部應用程式介面暫時無回應）不會中斷整體服務可用性；集中日誌管理透過 pm2 logs forest-carbon 提供統一查閱介面。PM2 進一步以 pm2 startup 指令註冊 systemd 服務單元，使作業系統層級的服務監控與應用層級的程序管理形成兩層保護。選用 PM2 而非由 systemd 直接管理 Node 程序的理由在於：PM2 提供 Node.js 生態圈專屬的零停機重啟（zero-downtime reload）與日誌切割功能，較通用型 systemd 更貼近此專案的應用情境。</w:t>
      </w:r>
    </w:p>
    <w:p>
      <w:pPr>
        <w:pStyle w:val="Heading2"/>
      </w:pPr>
      <w:bookmarkStart w:id="37" w:name="_Toc10036"/>
      <w:r>
        <w:rPr>
          <w:rFonts w:ascii="Times New Roman" w:hAnsi="Times New Roman" w:eastAsia="標楷體" w:cs="標楷體"/>
          <w:sz w:val="26"/>
        </w:rPr>
        <w:t>3.7 資料模型設計</w:t>
      </w:r>
      <w:bookmarkEnd w:id="37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系統資料庫以負責本地資料儲存的 SQLite 儲存量測記錄、修正因子帳本與評估結果。主要資料表設計如表 3-3 所示。資料表間的關聯如下：trees 為核心實體表，ground_truth 以樹木識別碼（tree_id）外鍵關聯 trees；blockchain_jobs 以相同外鍵（tree_id）關聯 trees，獨立管理上鏈任務狀態；correction_factor_log 以 species 為索引鍵，不與 trees 直接關聯，維護樹種層級的修正因子演進歷程；evaluation_runs 獨立儲存每次評估計算的彙整指標。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929"/>
        <w:gridCol w:w="2929"/>
        <w:gridCol w:w="2929"/>
      </w:tblGrid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資料表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主要欄位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說明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trees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id, project_id, species, dbh_cm, original_dbh_cm,</w:t>
              <w:br/>
              <w:t>applied_correction_factor, reference_used,</w:t>
              <w:br/>
              <w:t>reference_type, carbon_kg, tx_status, tx_hash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每棵樹的量測記錄，含修正前後胸高直徑與碳儲量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ground_truth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id, tree_id, actual_dbh_cm, estimated_dbh_cm,</w:t>
              <w:br/>
              <w:t>correction_factor, source, created_at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實測回饋記錄，source 為 manual 或 reference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correction_factor_log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id, species, factor, sample_count, std_dev,</w:t>
              <w:br/>
              <w:t>triggered_by, created_at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修正因子演進快照帳本，每次觸發更新後寫入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blockchain_jobs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id, tree_id, tx_status, tx_hash,</w:t>
              <w:br/>
              <w:t>retry_count, last_attempted_at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上鏈任務佇列，失敗時記錄重試次數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evaluation_runs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id, run_id, timestamp, sample_count,</w:t>
              <w:br/>
              <w:t>mae, mape, rmse, r2, bias, notes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0"/>
              </w:rPr>
              <w:t>評估指標歷史記錄，含 Bootstrap 信賴區間</w:t>
            </w:r>
          </w:p>
        </w:tc>
      </w:tr>
    </w:tbl>
    <w:p/>
    <w:p>
      <w:pPr>
        <w:jc w:val="center"/>
      </w:pPr>
      <w:r>
        <w:rPr>
          <w:rFonts w:ascii="Times New Roman" w:hAnsi="Times New Roman" w:eastAsia="標楷體" w:cs="標楷體"/>
          <w:sz w:val="22"/>
        </w:rPr>
        <w:t>表 3-3　主要資料表欄位設計</w:t>
      </w:r>
    </w:p>
    <w:p/>
    <w:p>
      <w:pPr>
        <w:pStyle w:val="Heading2"/>
      </w:pPr>
      <w:bookmarkStart w:id="38" w:name="_Toc10037"/>
      <w:r>
        <w:rPr>
          <w:rFonts w:ascii="Times New Roman" w:hAnsi="Times New Roman" w:eastAsia="標楷體" w:cs="標楷體"/>
          <w:sz w:val="26"/>
        </w:rPr>
        <w:t>3.8 應用程式介面端點設計</w:t>
      </w:r>
      <w:bookmarkEnd w:id="38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系統對外提供 RESTful 應用程式介面，主要端點設計如表 3-4 所示。所有量測任務採非同步處理模式：POST /api/upload 立即回傳 jobId，客戶端以 GET /api/status/:jobId 輪詢結果，確保長時間的影片分析流程不阻塞前端介面。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197"/>
        <w:gridCol w:w="2197"/>
        <w:gridCol w:w="2197"/>
        <w:gridCol w:w="2197"/>
      </w:tblGrid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端點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方法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功能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b/>
                <w:sz w:val="20"/>
              </w:rPr>
              <w:t>主要回應欄位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POST /api/upload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POST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接收影片，啟動非同步量測流程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jobId, status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GET /api/status/:jobId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GET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輪詢量測進度與結果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status, dbhCm, species, carbonKg, confidence, txHash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POST /api/ground-truth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POST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手動回報實測胸高直徑，觸發修正因子更新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correctionFactor, snapshotTriggered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GET /api/correction-factors/:species/history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GET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取得樹種修正因子演進歷程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history[ factor, sampleCount, triggeredBy, createdAt ]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POST /api/evaluation/run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POST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觸發評估計算，寫入 evaluation_runs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mae, mape, rmse, r2, bias, bootstrapCI</w:t>
            </w:r>
          </w:p>
        </w:tc>
      </w:tr>
      <w:tr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GET /api/evaluation/report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GET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取得 Markdown 格式評估報告</w:t>
            </w:r>
          </w:p>
        </w:tc>
        <w:tc>
          <w:tcPr>
            <w:tcW w:type="dxa" w:w="2197"/>
          </w:tcPr>
          <w:p>
            <w:r>
              <w:rPr>
                <w:rFonts w:ascii="Times New Roman" w:hAnsi="Times New Roman" w:eastAsia="標楷體" w:cs="標楷體"/>
                <w:sz w:val="20"/>
              </w:rPr>
              <w:t>report (Markdown string)</w:t>
            </w:r>
          </w:p>
        </w:tc>
      </w:tr>
    </w:tbl>
    <w:p/>
    <w:p>
      <w:pPr>
        <w:jc w:val="center"/>
      </w:pPr>
      <w:r>
        <w:rPr>
          <w:rFonts w:ascii="Times New Roman" w:hAnsi="Times New Roman" w:eastAsia="標楷體" w:cs="標楷體"/>
          <w:sz w:val="22"/>
        </w:rPr>
        <w:t>表 3-4　主要 應用程式介面端點設計</w:t>
      </w:r>
    </w:p>
    <w:p/>
    <w:p>
      <w:pPr>
        <w:pStyle w:val="Heading2"/>
      </w:pPr>
      <w:bookmarkStart w:id="39" w:name="_Toc10038"/>
      <w:r>
        <w:rPr>
          <w:rFonts w:ascii="Times New Roman" w:hAnsi="Times New Roman" w:eastAsia="標楷體" w:cs="標楷體"/>
          <w:sz w:val="26"/>
        </w:rPr>
        <w:t>3.9 研究評估輸出引擎</w:t>
      </w:r>
      <w:bookmarkEnd w:id="39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為支援第四章的量化評估，系統內建研究評估輸出引擎（src/services/evaluationService.js）。觸發 POST /api/evaluation/run 後，系統從 ground_truth JOIN trees 取得所有實測對照數據，計算以下指標：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平均絕對誤差= (1/n) Σ |actual_i − estimated_i|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平均絕對百分比誤差= (100/n) Σ |actual_i − estimated_i| / actual_i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均方根誤差= sqrt((1/n) Σ (actual_i − estimated_i)²)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決定係數（Coefficient of Determination, R²）= 1 − SS_res / SS_tot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系統以統計學中的 Bootstrap 重採樣法（Efron &amp; Tibshirani, 1993；10,000 次有放回抽樣）計算 平均絕對誤差與 平均絕對百分比誤差的 95% 信賴區間，強化不依賴常態分布假設的統計嚴謹性。同時，系統依 Hevner et al.（2004）七項準則自動評分，依據系統現有資料（correction_factor_log 筆數、blockchain_jobs 成功率等）判斷各準則的完成程度，並產出結構化 Markdown 評估報告，供第四章直接引用為評估結果。</w:t>
      </w:r>
    </w:p>
    <w:sectPr w:rsidR="00FC693F" w:rsidRPr="0006063C" w:rsidSect="00034616">
      <w:headerReference w:type="default" r:id="rId9"/>
      <w:footerReference w:type="default" r:id="rId10"/>
      <w:headerReference w:type="even" r:id="rId11"/>
      <w:footerReference w:type="even" r:id="rId12"/>
      <w:headerReference w:type="first" r:id="rId13"/>
      <w:footerReference w:type="first" r:id="rId14"/>
      <w:titlePg/>
      <w:pgSz w:w="11906" w:h="16838"/>
      <w:pgMar w:top="1417" w:right="1417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A1B2C3D4" w14:textId="A1B2C3D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Odd" o:spid="_x0000_s200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B1C2D3E4" w14:textId="B1C2D3E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Even" o:spid="_x0000_s2002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  <w:p w14:paraId="A1B2C3D4" w14:textId="A1B2C3D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Odd" o:spid="_x0000_s200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updateFields w:val="true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 w:ascii="Times New Roman" w:hAnsi="Times New Roman" w:eastAsia="標楷體" w:cs="標楷體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hAnsi="Times New Roman" w:eastAsia="標楷體" w:cs="標楷體"/>
      <w:sz w:val="24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Times New Roman" w:hAnsi="Times New Roman" w:eastAsia="標楷體" w:cs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Times New Roman" w:hAnsi="Times New Roman" w:eastAsia="標楷體" w:cs="標楷體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 New Roman" w:hAnsi="Times New Roman" w:eastAsia="標楷體" w:cs="標楷體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Times New Roman" w:hAnsi="Times New Roman" w:eastAsia="標楷體" w:cs="標楷體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Times New Roman" w:hAnsi="Times New Roman" w:eastAsia="標楷體" w:cs="標楷體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Times New Roman" w:hAnsi="Times New Roman" w:eastAsia="標楷體" w:cs="標楷體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Times New Roman" w:hAnsi="Times New Roman" w:eastAsia="標楷體" w:cs="標楷體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Times New Roman" w:hAnsi="Times New Roman" w:eastAsia="標楷體" w:cs="標楷體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Times New Roman" w:hAnsi="Times New Roman" w:eastAsia="標楷體" w:cs="標楷體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Times New Roman" w:hAnsi="Times New Roman" w:eastAsia="標楷體" w:cs="標楷體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Times New Roman" w:hAnsi="Times New Roman" w:eastAsia="標楷體" w:cs="標楷體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Normal"/>
    <w:next w:val="Normal"/>
    <w:uiPriority w:val="39"/>
    <w:semiHidden/>
    <w:unhideWhenUsed/>
    <w:pPr>
      <w:spacing w:after="0"/>
      <w:tabs>
        <w:tab w:val="right" w:leader="dot" w:pos="9360"/>
      </w:tabs>
    </w:pPr>
    <w:rPr>
      <w:rFonts w:ascii="Times New Roman" w:hAnsi="Times New Roman" w:eastAsia="標楷體" w:cs="標楷體"/>
      <w:sz w:val="24"/>
      <w:szCs w:val="24"/>
    </w:rPr>
  </w:style>
  <w:style w:type="paragraph" w:styleId="TOC2">
    <w:name w:val="toc 2"/>
    <w:basedOn w:val="Normal"/>
    <w:next w:val="Normal"/>
    <w:uiPriority w:val="39"/>
    <w:semiHidden/>
    <w:unhideWhenUsed/>
    <w:pPr>
      <w:spacing w:after="0"/>
      <w:ind w:left="240"/>
      <w:tabs>
        <w:tab w:val="right" w:leader="dot" w:pos="9360"/>
      </w:tabs>
    </w:pPr>
    <w:rPr>
      <w:rFonts w:ascii="Times New Roman" w:hAnsi="Times New Roman" w:eastAsia="標楷體" w:cs="標楷體"/>
      <w:sz w:val="22"/>
      <w:szCs w:val="22"/>
    </w:rPr>
  </w:style>
  <w:style w:type="paragraph" w:styleId="TOC3">
    <w:name w:val="toc 3"/>
    <w:basedOn w:val="Normal"/>
    <w:next w:val="Normal"/>
    <w:uiPriority w:val="39"/>
    <w:semiHidden/>
    <w:unhideWhenUsed/>
    <w:pPr>
      <w:spacing w:after="0"/>
      <w:ind w:left="480"/>
      <w:tabs>
        <w:tab w:val="right" w:leader="dot" w:pos="9360"/>
      </w:tabs>
    </w:pPr>
    <w:rPr>
      <w:rFonts w:ascii="Times New Roman" w:hAnsi="Times New Roman" w:eastAsia="標楷體" w:cs="標楷體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 w:ascii="Times New Roman" w:hAnsi="Times New Roman" w:eastAsia="標楷體" w:cs="標楷體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Times New Roman" w:hAnsi="Times New Roman" w:eastAsia="標楷體" w:cs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Times New Roman" w:hAnsi="Times New Roman" w:eastAsia="標楷體" w:cs="標楷體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 New Roman" w:hAnsi="Times New Roman" w:eastAsia="標楷體" w:cs="標楷體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Times New Roman" w:hAnsi="Times New Roman" w:eastAsia="標楷體" w:cs="標楷體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Times New Roman" w:hAnsi="Times New Roman" w:eastAsia="標楷體" w:cs="標楷體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Times New Roman" w:hAnsi="Times New Roman" w:eastAsia="標楷體" w:cs="標楷體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Times New Roman" w:hAnsi="Times New Roman" w:eastAsia="標楷體" w:cs="標楷體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Times New Roman" w:hAnsi="Times New Roman" w:eastAsia="標楷體" w:cs="標楷體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Times New Roman" w:hAnsi="Times New Roman" w:eastAsia="標楷體" w:cs="標楷體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Times New Roman" w:hAnsi="Times New Roman" w:eastAsia="標楷體" w:cs="標楷體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Times New Roman" w:hAnsi="Times New Roman" w:eastAsia="標楷體" w:cs="標楷體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fig3fig1.png"/><Relationship Id="rId23" Type="http://schemas.openxmlformats.org/officeDocument/2006/relationships/image" Target="media/fig3fig1.svg"/><Relationship Id="rId24" Type="http://schemas.openxmlformats.org/officeDocument/2006/relationships/image" Target="media/fig3fig2.png"/><Relationship Id="rId25" Type="http://schemas.openxmlformats.org/officeDocument/2006/relationships/image" Target="media/fig3fig2.sv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