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vecfig1.svg" ContentType="image/svg+xml"/>
  <Override PartName="/word/media/vecfig2.svg" ContentType="image/svg+xml"/>
  <Override PartName="/word/media/vecfig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bookmarkStart w:id="40" w:name="_Toc10039"/>
      <w:r>
        <w:rPr>
          <w:rFonts w:ascii="Times New Roman" w:hAnsi="Times New Roman" w:eastAsia="標楷體" w:cs="標楷體"/>
          <w:b/>
          <w:sz w:val="28"/>
        </w:rPr>
        <w:t>第四章　解決方案展示與評估</w:t>
      </w:r>
      <w:bookmarkEnd w:id="40"/>
    </w:p>
    <w:p>
      <w:pPr>
        <w:pStyle w:val="Heading2"/>
      </w:pPr>
      <w:bookmarkStart w:id="41" w:name="_Toc10040"/>
      <w:r>
        <w:rPr>
          <w:rFonts w:ascii="Times New Roman" w:hAnsi="Times New Roman" w:eastAsia="標楷體" w:cs="標楷體"/>
          <w:b/>
          <w:sz w:val="24"/>
        </w:rPr>
        <w:t>4.1 實驗設計與田野量測</w:t>
      </w:r>
      <w:bookmarkEnd w:id="41"/>
    </w:p>
    <w:p>
      <w:pPr>
        <w:spacing w:after="120"/>
        <w:ind w:firstLine="480"/>
      </w:pPr>
      <w:r>
        <w:rPr>
          <w:rFonts w:ascii="Times New Roman" w:hAnsi="Times New Roman" w:eastAsia="標楷體" w:cs="標楷體"/>
          <w:sz w:val="24"/>
        </w:rPr>
        <w:t>此專案採用設計科學研究（Design Science Research, DSR）之展示與評估框架，透過田野量測實驗驗證系統三大支柱之效能。實驗場域選定國立臺東大學知本校區，以校區內常見之樟樹（Cinnamomum camphora）與楠木（Machilus thunbergii）為主要樣本樹種，共 32 棵（其中 31 棵為有效分析樣本），涵蓋小徑木（DBH &lt; 20 cm）、中徑木（20–40 cm）與大徑木（&gt; 40 cm）三個尺寸級別，使評估結果能涵蓋不同直徑條件下的系統表現。</w:t>
      </w:r>
    </w:p>
    <w:p>
      <w:pPr>
        <w:spacing w:after="120"/>
        <w:ind w:firstLine="480"/>
      </w:pPr>
      <w:r>
        <w:rPr>
          <w:rFonts w:ascii="Times New Roman" w:hAnsi="Times New Roman" w:eastAsia="標楷體" w:cs="標楷體"/>
          <w:sz w:val="24"/>
        </w:rPr>
        <w:t>每棵樣本樹均以捲尺於胸高（地面以上 1.3 公尺）量取真實 DBH，作為系統估算值的比對基準（ground truth）。系統測量流程依標準作業程序執行：操作人員以 iPhone 13 Pro Max 及近三年各廠牌主流智慧型手機（含 Android 平台）為攝錄裝置，距樹幹約一公尺處依現地條件選用支援之參照物（完整規格詳見第二章表 2-1），拍攝影片。系統接續自動完成影格抽取、Gemini Vision 影格分析、三路徑優先級 DBH 估算（最高優先為樹幹上量尺或刻度貼紙之光學字元辨識（Optical Character Recognition, OCR）直讀；次高為參照物像素比例換算；最低層為純薄透鏡公式 fallback），最終將結果寫入本地 SQLite 資料庫並推送至 Hyperledger Besu 私鏈存證。近三年各廠牌機型的納入，使系統得以驗證跨設備規格下的設備中立性表現。</w:t>
      </w:r>
    </w:p>
    <w:p>
      <w:pPr>
        <w:spacing w:after="120"/>
        <w:ind w:firstLine="480"/>
      </w:pPr>
      <w:r>
        <w:rPr>
          <w:rFonts w:ascii="Times New Roman" w:hAnsi="Times New Roman" w:eastAsia="標楷體" w:cs="標楷體"/>
          <w:sz w:val="24"/>
        </w:rPr>
        <w:t>統計分析採用 Bootstrap 重抽樣法（Efron &amp; Tibshirani, 1993；10,000 次）計算 95% 信賴區間，該方法適用於不同樣本量條件，可因應此專案 31 棵有效樣本之分析條件。影片 DBH 精度評估 採用平均絕對誤差（Mean Absolute Error, MAE）、平均絕對百分比誤差（Mean Absolute Percentage Error, MAPE）、均方根誤差（Root Mean Squared Error, RMSE）與決定係數（Coefficient of Determination, R²）四項指標量化精度表現，其使用脈絡如表 4-1a 所示；修正因子自演進評估 以演進前後的系統性偏差（bias）均值與標準差比較自演進機制的修正效果；考量田野樣本分散於多個樹種，修正因子自演進評估 於偏差比較之外另採線性混合效應模型（Linear Mixed-Effects Model, LMM）控制樹種層級之隨機效應，方法論細節詳見 4.3 節；區塊鏈完整性評估 以鏈上事件與本地資料庫的一致性比率及上鏈成功率驗證存證機制。</w:t>
      </w:r>
    </w:p>
    <w:p>
      <w:r>
        <w:rPr>
          <w:rFonts w:ascii="Times New Roman" w:hAnsi="Times New Roman" w:eastAsia="標楷體" w:cs="標楷體"/>
        </w:rPr>
        <w:t>此專案另設計五條處理流程對照實驗，系統性比較影片前處理策略對 DBH 估算精度的影響，以相同 32 棵田野樣本（IMG_5804 影片記錄兩棵樹，其中第二棵 55 cm 者未完成量測分析，故有效 31 棵）為統一標準測試集，確保不同流程的表現在等效條件下可直接比較。五條流程依影片前處理方法分為兩類：採用 OpenCV 關鍵幀提取演算法的 P1a（kf-sharp-960）、P1b（kf-sharp-orig）與 P2（kf-time-960），以及直接以完整影片影格輸入 Gemini Vision 的 P3（video-v1）與 P4（video-v2）；各流程差異在於幀提取策略、輸出解析度與提示詞設計。以各棵樣本樹為比較單位，取估算誤差最低者為該棵的勝出流程，五條流程的勝出次數之和構成流程效能排序的主要依據。</w:t>
      </w:r>
    </w:p>
    <w:p>
      <w:pPr>
        <w:jc w:val="center"/>
      </w:pPr>
      <w:r>
        <w:rPr>
          <w:rFonts w:ascii="Times New Roman" w:hAnsi="Times New Roman" w:eastAsia="標楷體" w:cs="標楷體"/>
          <w:b/>
          <w:sz w:val="22"/>
        </w:rPr>
        <w:t>表 4-1　五條處理流程對照實驗摘要</w:t>
      </w:r>
    </w:p>
    <w:tbl>
      <w:tblPr>
        <w:tblStyle w:val="TableGrid"/>
        <w:tblW w:type="auto" w:w="0"/>
        <w:jc w:val="center"/>
        <w:tblLook w:firstColumn="1" w:firstRow="1" w:lastColumn="0" w:lastRow="0" w:noHBand="0" w:noVBand="1" w:val="04A0"/>
      </w:tblPr>
      <w:tblGrid>
        <w:gridCol w:w="1465"/>
        <w:gridCol w:w="1465"/>
        <w:gridCol w:w="1465"/>
        <w:gridCol w:w="1465"/>
        <w:gridCol w:w="1465"/>
        <w:gridCol w:w="1465"/>
      </w:tblGrid>
      <w:tr>
        <w:tc>
          <w:tcPr>
            <w:tcW w:type="dxa" w:w="1465"/>
          </w:tcPr>
          <w:p>
            <w:r>
              <w:rPr>
                <w:rFonts w:ascii="Times New Roman" w:hAnsi="Times New Roman" w:eastAsia="標楷體" w:cs="標楷體"/>
                <w:sz w:val="22"/>
              </w:rPr>
              <w:t>路徑</w:t>
            </w:r>
          </w:p>
        </w:tc>
        <w:tc>
          <w:tcPr>
            <w:tcW w:type="dxa" w:w="1465"/>
          </w:tcPr>
          <w:p>
            <w:r>
              <w:rPr>
                <w:rFonts w:ascii="Times New Roman" w:hAnsi="Times New Roman" w:eastAsia="標楷體" w:cs="標楷體"/>
                <w:sz w:val="22"/>
              </w:rPr>
              <w:t>框架設計特徵</w:t>
            </w:r>
          </w:p>
        </w:tc>
        <w:tc>
          <w:tcPr>
            <w:tcW w:type="dxa" w:w="1465"/>
          </w:tcPr>
          <w:p>
            <w:r>
              <w:rPr>
                <w:rFonts w:ascii="Times New Roman" w:hAnsi="Times New Roman" w:eastAsia="標楷體" w:cs="標楷體"/>
                <w:sz w:val="22"/>
              </w:rPr>
              <w:t>有效樣本 N</w:t>
            </w:r>
          </w:p>
        </w:tc>
        <w:tc>
          <w:tcPr>
            <w:tcW w:type="dxa" w:w="1465"/>
          </w:tcPr>
          <w:p>
            <w:r>
              <w:rPr>
                <w:rFonts w:ascii="Times New Roman" w:hAnsi="Times New Roman" w:eastAsia="標楷體" w:cs="標楷體"/>
                <w:sz w:val="22"/>
              </w:rPr>
              <w:t>MAPE</w:t>
            </w:r>
          </w:p>
        </w:tc>
        <w:tc>
          <w:tcPr>
            <w:tcW w:type="dxa" w:w="1465"/>
          </w:tcPr>
          <w:p>
            <w:r>
              <w:rPr>
                <w:rFonts w:ascii="Times New Roman" w:hAnsi="Times New Roman" w:eastAsia="標楷體" w:cs="標楷體"/>
                <w:sz w:val="22"/>
              </w:rPr>
              <w:t>通過率（APE ≤ 25%）</w:t>
            </w:r>
          </w:p>
        </w:tc>
      </w:tr>
      <w:tr>
        <w:tc>
          <w:tcPr>
            <w:tcW w:type="dxa" w:w="1465"/>
          </w:tcPr>
          <w:p>
            <w:r>
              <w:rPr>
                <w:rFonts w:ascii="Times New Roman" w:hAnsi="Times New Roman" w:eastAsia="標楷體" w:cs="標楷體"/>
                <w:sz w:val="22"/>
              </w:rPr>
              <w:t>P1a</w:t>
            </w:r>
          </w:p>
        </w:tc>
        <w:tc>
          <w:tcPr>
            <w:tcW w:type="dxa" w:w="1465"/>
          </w:tcPr>
          <w:p>
            <w:r>
              <w:rPr>
                <w:rFonts w:ascii="Times New Roman" w:hAnsi="Times New Roman" w:eastAsia="標楷體" w:cs="標楷體"/>
                <w:sz w:val="22"/>
              </w:rPr>
              <w:t>I-frame 取幀・最清晰 8 幀・960p 縮圖</w:t>
            </w:r>
          </w:p>
        </w:tc>
        <w:tc>
          <w:tcPr>
            <w:tcW w:type="dxa" w:w="1465"/>
          </w:tcPr>
          <w:p>
            <w:r>
              <w:rPr>
                <w:rFonts w:ascii="Times New Roman" w:hAnsi="Times New Roman" w:eastAsia="標楷體" w:cs="標楷體"/>
                <w:sz w:val="22"/>
              </w:rPr>
              <w:t>21</w:t>
            </w:r>
          </w:p>
        </w:tc>
        <w:tc>
          <w:tcPr>
            <w:tcW w:type="dxa" w:w="1465"/>
          </w:tcPr>
          <w:p>
            <w:r>
              <w:rPr>
                <w:rFonts w:ascii="Times New Roman" w:hAnsi="Times New Roman" w:eastAsia="標楷體" w:cs="標楷體"/>
                <w:sz w:val="22"/>
              </w:rPr>
              <w:t>29.8%</w:t>
            </w:r>
          </w:p>
        </w:tc>
        <w:tc>
          <w:tcPr>
            <w:tcW w:type="dxa" w:w="1465"/>
          </w:tcPr>
          <w:p>
            <w:r>
              <w:rPr>
                <w:rFonts w:ascii="Times New Roman" w:hAnsi="Times New Roman" w:eastAsia="標楷體" w:cs="標楷體"/>
                <w:sz w:val="22"/>
              </w:rPr>
              <w:t>9/21（42.9%）</w:t>
            </w:r>
          </w:p>
        </w:tc>
      </w:tr>
      <w:tr>
        <w:tc>
          <w:tcPr>
            <w:tcW w:type="dxa" w:w="1465"/>
          </w:tcPr>
          <w:p>
            <w:r>
              <w:rPr>
                <w:rFonts w:ascii="Times New Roman" w:hAnsi="Times New Roman" w:eastAsia="標楷體" w:cs="標楷體"/>
                <w:sz w:val="22"/>
              </w:rPr>
              <w:t>P1b</w:t>
            </w:r>
          </w:p>
        </w:tc>
        <w:tc>
          <w:tcPr>
            <w:tcW w:type="dxa" w:w="1465"/>
          </w:tcPr>
          <w:p>
            <w:r>
              <w:rPr>
                <w:rFonts w:ascii="Times New Roman" w:hAnsi="Times New Roman" w:eastAsia="標楷體" w:cs="標楷體"/>
                <w:sz w:val="22"/>
              </w:rPr>
              <w:t>I-frame 取幀・最清晰 8 幀・原解析度</w:t>
            </w:r>
          </w:p>
        </w:tc>
        <w:tc>
          <w:tcPr>
            <w:tcW w:type="dxa" w:w="1465"/>
          </w:tcPr>
          <w:p>
            <w:r>
              <w:rPr>
                <w:rFonts w:ascii="Times New Roman" w:hAnsi="Times New Roman" w:eastAsia="標楷體" w:cs="標楷體"/>
                <w:sz w:val="22"/>
              </w:rPr>
              <w:t>18</w:t>
            </w:r>
          </w:p>
        </w:tc>
        <w:tc>
          <w:tcPr>
            <w:tcW w:type="dxa" w:w="1465"/>
          </w:tcPr>
          <w:p>
            <w:r>
              <w:rPr>
                <w:rFonts w:ascii="Times New Roman" w:hAnsi="Times New Roman" w:eastAsia="標楷體" w:cs="標楷體"/>
                <w:sz w:val="22"/>
              </w:rPr>
              <w:t>25.8%</w:t>
            </w:r>
          </w:p>
        </w:tc>
        <w:tc>
          <w:tcPr>
            <w:tcW w:type="dxa" w:w="1465"/>
          </w:tcPr>
          <w:p>
            <w:r>
              <w:rPr>
                <w:rFonts w:ascii="Times New Roman" w:hAnsi="Times New Roman" w:eastAsia="標楷體" w:cs="標楷體"/>
                <w:sz w:val="22"/>
              </w:rPr>
              <w:t>8/18（44.4%）</w:t>
            </w:r>
          </w:p>
        </w:tc>
      </w:tr>
      <w:tr>
        <w:tc>
          <w:tcPr>
            <w:tcW w:type="dxa" w:w="1465"/>
          </w:tcPr>
          <w:p>
            <w:r>
              <w:rPr>
                <w:rFonts w:ascii="Times New Roman" w:hAnsi="Times New Roman" w:eastAsia="標楷體" w:cs="標楷體"/>
                <w:sz w:val="22"/>
              </w:rPr>
              <w:t>P2</w:t>
            </w:r>
          </w:p>
        </w:tc>
        <w:tc>
          <w:tcPr>
            <w:tcW w:type="dxa" w:w="1465"/>
          </w:tcPr>
          <w:p>
            <w:r>
              <w:rPr>
                <w:rFonts w:ascii="Times New Roman" w:hAnsi="Times New Roman" w:eastAsia="標楷體" w:cs="標楷體"/>
                <w:sz w:val="22"/>
              </w:rPr>
              <w:t>I-frame 取幀・時間均勻 8 幀・960p 縮圖</w:t>
            </w:r>
          </w:p>
        </w:tc>
        <w:tc>
          <w:tcPr>
            <w:tcW w:type="dxa" w:w="1465"/>
          </w:tcPr>
          <w:p>
            <w:r>
              <w:rPr>
                <w:rFonts w:ascii="Times New Roman" w:hAnsi="Times New Roman" w:eastAsia="標楷體" w:cs="標楷體"/>
                <w:sz w:val="22"/>
              </w:rPr>
              <w:t>23</w:t>
            </w:r>
          </w:p>
        </w:tc>
        <w:tc>
          <w:tcPr>
            <w:tcW w:type="dxa" w:w="1465"/>
          </w:tcPr>
          <w:p>
            <w:r>
              <w:rPr>
                <w:rFonts w:ascii="Times New Roman" w:hAnsi="Times New Roman" w:eastAsia="標楷體" w:cs="標楷體"/>
                <w:sz w:val="22"/>
              </w:rPr>
              <w:t>26.0%</w:t>
            </w:r>
          </w:p>
        </w:tc>
        <w:tc>
          <w:tcPr>
            <w:tcW w:type="dxa" w:w="1465"/>
          </w:tcPr>
          <w:p>
            <w:r>
              <w:rPr>
                <w:rFonts w:ascii="Times New Roman" w:hAnsi="Times New Roman" w:eastAsia="標楷體" w:cs="標楷體"/>
                <w:sz w:val="22"/>
              </w:rPr>
              <w:t>11/23（47.8%）</w:t>
            </w:r>
          </w:p>
        </w:tc>
      </w:tr>
      <w:tr>
        <w:tc>
          <w:tcPr>
            <w:tcW w:type="dxa" w:w="1465"/>
          </w:tcPr>
          <w:p>
            <w:r>
              <w:rPr>
                <w:rFonts w:ascii="Times New Roman" w:hAnsi="Times New Roman" w:eastAsia="標楷體" w:cs="標楷體"/>
                <w:sz w:val="22"/>
              </w:rPr>
              <w:t>P3</w:t>
            </w:r>
          </w:p>
        </w:tc>
        <w:tc>
          <w:tcPr>
            <w:tcW w:type="dxa" w:w="1465"/>
          </w:tcPr>
          <w:p>
            <w:r>
              <w:rPr>
                <w:rFonts w:ascii="Times New Roman" w:hAnsi="Times New Roman" w:eastAsia="標楷體" w:cs="標楷體"/>
                <w:sz w:val="22"/>
              </w:rPr>
              <w:t>Gemini 直接解影片・自選幀・N=5</w:t>
            </w:r>
          </w:p>
        </w:tc>
        <w:tc>
          <w:tcPr>
            <w:tcW w:type="dxa" w:w="1465"/>
          </w:tcPr>
          <w:p>
            <w:r>
              <w:rPr>
                <w:rFonts w:ascii="Times New Roman" w:hAnsi="Times New Roman" w:eastAsia="標楷體" w:cs="標楷體"/>
                <w:sz w:val="22"/>
              </w:rPr>
              <w:t>29</w:t>
            </w:r>
          </w:p>
        </w:tc>
        <w:tc>
          <w:tcPr>
            <w:tcW w:type="dxa" w:w="1465"/>
          </w:tcPr>
          <w:p>
            <w:r>
              <w:rPr>
                <w:rFonts w:ascii="Times New Roman" w:hAnsi="Times New Roman" w:eastAsia="標楷體" w:cs="標楷體"/>
                <w:sz w:val="22"/>
              </w:rPr>
              <w:t>26.5%</w:t>
            </w:r>
          </w:p>
        </w:tc>
        <w:tc>
          <w:tcPr>
            <w:tcW w:type="dxa" w:w="1465"/>
          </w:tcPr>
          <w:p>
            <w:r>
              <w:rPr>
                <w:rFonts w:ascii="Times New Roman" w:hAnsi="Times New Roman" w:eastAsia="標楷體" w:cs="標楷體"/>
                <w:sz w:val="22"/>
              </w:rPr>
              <w:t>13/29（44.8%）</w:t>
            </w:r>
          </w:p>
        </w:tc>
      </w:tr>
      <w:tr>
        <w:tc>
          <w:tcPr>
            <w:tcW w:type="dxa" w:w="1465"/>
          </w:tcPr>
          <w:p>
            <w:r>
              <w:rPr>
                <w:rFonts w:ascii="Times New Roman" w:hAnsi="Times New Roman" w:eastAsia="標楷體" w:cs="標楷體"/>
                <w:b/>
                <w:sz w:val="22"/>
              </w:rPr>
              <w:t>P4（生產）</w:t>
            </w:r>
          </w:p>
        </w:tc>
        <w:tc>
          <w:tcPr>
            <w:tcW w:type="dxa" w:w="1465"/>
          </w:tcPr>
          <w:p>
            <w:r>
              <w:rPr>
                <w:rFonts w:ascii="Times New Roman" w:hAnsi="Times New Roman" w:eastAsia="標楷體" w:cs="標楷體"/>
                <w:b/>
                <w:sz w:val="22"/>
              </w:rPr>
              <w:t>Gemini 直接解影片・自選幀・N=10・胸高提示</w:t>
            </w:r>
          </w:p>
        </w:tc>
        <w:tc>
          <w:tcPr>
            <w:tcW w:type="dxa" w:w="1465"/>
          </w:tcPr>
          <w:p>
            <w:r>
              <w:rPr>
                <w:rFonts w:ascii="Times New Roman" w:hAnsi="Times New Roman" w:eastAsia="標楷體" w:cs="標楷體"/>
                <w:b/>
                <w:sz w:val="22"/>
              </w:rPr>
              <w:t>31</w:t>
            </w:r>
          </w:p>
        </w:tc>
        <w:tc>
          <w:tcPr>
            <w:tcW w:type="dxa" w:w="1465"/>
          </w:tcPr>
          <w:p>
            <w:r>
              <w:rPr>
                <w:rFonts w:ascii="Times New Roman" w:hAnsi="Times New Roman" w:eastAsia="標楷體" w:cs="標楷體"/>
                <w:b/>
                <w:sz w:val="22"/>
              </w:rPr>
              <w:t>15.6%</w:t>
            </w:r>
          </w:p>
        </w:tc>
        <w:tc>
          <w:tcPr>
            <w:tcW w:type="dxa" w:w="1465"/>
          </w:tcPr>
          <w:p>
            <w:r>
              <w:rPr>
                <w:rFonts w:ascii="Times New Roman" w:hAnsi="Times New Roman" w:eastAsia="標楷體" w:cs="標楷體"/>
                <w:b/>
                <w:sz w:val="22"/>
              </w:rPr>
              <w:t>23/31（74.2%）</w:t>
            </w:r>
          </w:p>
        </w:tc>
      </w:tr>
    </w:tbl>
    <w:p>
      <w:pPr>
        <w:pStyle w:val="Normal"/>
      </w:pPr>
      <w:r>
        <w:rPr>
          <w:rFonts w:ascii="Times New Roman" w:hAnsi="Times New Roman" w:eastAsia="標楷體" w:cs="標楷體"/>
          <w:sz w:val="18"/>
          <w:szCs w:val="18"/>
        </w:rPr>
        <w:t xml:space="preserve">註：P1a–P3 為 30 棵對照實驗之原始估算值（部分樹因影片品質無法估算，有效 N 各異）；P4 為生產系統校準後結果（N=31，含 IMG_5804 第二棵樹）。各棵樹 P4 逐棵對照數據詳見表 4-3。</w:t>
      </w:r>
    </w:p>
    <w:p/>
    <w:p>
      <w:pPr>
        <w:jc w:val="center"/>
      </w:pPr>
      <w:r>
        <w:rPr>
          <w:rFonts w:ascii="Times New Roman" w:hAnsi="Times New Roman" w:eastAsia="標楷體" w:cs="標楷體"/>
          <w:b/>
          <w:sz w:val="22"/>
        </w:rPr>
        <w:t>表 4-1a　影片 DBH 估算精度量化指標之計算特性與使用脈絡</w:t>
      </w:r>
    </w:p>
    <w:tbl>
      <w:tblPr>
        <w:tblStyle w:val="TableGrid"/>
        <w:tblW w:type="auto" w:w="0"/>
        <w:jc w:val="center"/>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sz w:val="22"/>
              </w:rPr>
              <w:t>指標</w:t>
            </w:r>
          </w:p>
        </w:tc>
        <w:tc>
          <w:tcPr>
            <w:tcW w:type="dxa" w:w="2929"/>
          </w:tcPr>
          <w:p>
            <w:r>
              <w:rPr>
                <w:rFonts w:ascii="Times New Roman" w:hAnsi="Times New Roman" w:eastAsia="標楷體" w:cs="標楷體"/>
                <w:sz w:val="22"/>
              </w:rPr>
              <w:t>計算特性</w:t>
            </w:r>
          </w:p>
        </w:tc>
        <w:tc>
          <w:tcPr>
            <w:tcW w:type="dxa" w:w="2929"/>
          </w:tcPr>
          <w:p>
            <w:r>
              <w:rPr>
                <w:rFonts w:ascii="Times New Roman" w:hAnsi="Times New Roman" w:eastAsia="標楷體" w:cs="標楷體"/>
                <w:sz w:val="22"/>
              </w:rPr>
              <w:t>使用脈絡</w:t>
            </w:r>
          </w:p>
        </w:tc>
      </w:tr>
      <w:tr>
        <w:tc>
          <w:tcPr>
            <w:tcW w:type="dxa" w:w="2929"/>
          </w:tcPr>
          <w:p>
            <w:r>
              <w:rPr>
                <w:rFonts w:ascii="Times New Roman" w:hAnsi="Times New Roman" w:eastAsia="標楷體" w:cs="標楷體"/>
                <w:sz w:val="22"/>
              </w:rPr>
              <w:t>MAE（cm）</w:t>
            </w:r>
          </w:p>
        </w:tc>
        <w:tc>
          <w:tcPr>
            <w:tcW w:type="dxa" w:w="2929"/>
          </w:tcPr>
          <w:p>
            <w:r>
              <w:rPr>
                <w:rFonts w:ascii="Times New Roman" w:hAnsi="Times New Roman" w:eastAsia="標楷體" w:cs="標楷體"/>
                <w:sz w:val="22"/>
              </w:rPr>
              <w:t>絕對誤差均值，單位與量測值相同，對極端值較不敏感</w:t>
            </w:r>
          </w:p>
        </w:tc>
        <w:tc>
          <w:tcPr>
            <w:tcW w:type="dxa" w:w="2929"/>
          </w:tcPr>
          <w:p>
            <w:r>
              <w:rPr>
                <w:rFonts w:ascii="Times New Roman" w:hAnsi="Times New Roman" w:eastAsia="標楷體" w:cs="標楷體"/>
                <w:sz w:val="22"/>
              </w:rPr>
              <w:t>對應影片 DBH 精度評估之主要直觀指標，MAE 數值即平均偏差公分數（例如 MAE = 2.3 cm 表示平均偏差約 2.3 公分）</w:t>
            </w:r>
          </w:p>
        </w:tc>
      </w:tr>
      <w:tr>
        <w:tc>
          <w:tcPr>
            <w:tcW w:type="dxa" w:w="2929"/>
          </w:tcPr>
          <w:p>
            <w:r>
              <w:rPr>
                <w:rFonts w:ascii="Times New Roman" w:hAnsi="Times New Roman" w:eastAsia="標楷體" w:cs="標楷體"/>
                <w:sz w:val="22"/>
              </w:rPr>
              <w:t>RMSE（cm）</w:t>
            </w:r>
          </w:p>
        </w:tc>
        <w:tc>
          <w:tcPr>
            <w:tcW w:type="dxa" w:w="2929"/>
          </w:tcPr>
          <w:p>
            <w:r>
              <w:rPr>
                <w:rFonts w:ascii="Times New Roman" w:hAnsi="Times New Roman" w:eastAsia="標楷體" w:cs="標楷體"/>
                <w:sz w:val="22"/>
              </w:rPr>
              <w:t>以平方項放大較大誤差，凸顯最差情況</w:t>
            </w:r>
          </w:p>
        </w:tc>
        <w:tc>
          <w:tcPr>
            <w:tcW w:type="dxa" w:w="2929"/>
          </w:tcPr>
          <w:p>
            <w:r>
              <w:rPr>
                <w:rFonts w:ascii="Times New Roman" w:hAnsi="Times New Roman" w:eastAsia="標楷體" w:cs="標楷體"/>
                <w:sz w:val="22"/>
              </w:rPr>
              <w:t>與 MAE 比較可推估誤差分布是否偏離常態</w:t>
            </w:r>
          </w:p>
        </w:tc>
      </w:tr>
      <w:tr>
        <w:tc>
          <w:tcPr>
            <w:tcW w:type="dxa" w:w="2929"/>
          </w:tcPr>
          <w:p>
            <w:r>
              <w:rPr>
                <w:rFonts w:ascii="Times New Roman" w:hAnsi="Times New Roman" w:eastAsia="標楷體" w:cs="標楷體"/>
                <w:sz w:val="22"/>
              </w:rPr>
              <w:t>MAPE（%）</w:t>
            </w:r>
          </w:p>
        </w:tc>
        <w:tc>
          <w:tcPr>
            <w:tcW w:type="dxa" w:w="2929"/>
          </w:tcPr>
          <w:p>
            <w:r>
              <w:rPr>
                <w:rFonts w:ascii="Times New Roman" w:hAnsi="Times New Roman" w:eastAsia="標楷體" w:cs="標楷體"/>
                <w:sz w:val="22"/>
              </w:rPr>
              <w:t>百分比誤差均值，不受量級影響</w:t>
            </w:r>
          </w:p>
        </w:tc>
        <w:tc>
          <w:tcPr>
            <w:tcW w:type="dxa" w:w="2929"/>
          </w:tcPr>
          <w:p>
            <w:r>
              <w:rPr>
                <w:rFonts w:ascii="Times New Roman" w:hAnsi="Times New Roman" w:eastAsia="標楷體" w:cs="標楷體"/>
                <w:sz w:val="22"/>
              </w:rPr>
              <w:t>與精度目標「MAPE ≤ 25%」直接對齊，跨樹徑量級可比</w:t>
            </w:r>
          </w:p>
        </w:tc>
      </w:tr>
      <w:tr>
        <w:tc>
          <w:tcPr>
            <w:tcW w:type="dxa" w:w="2929"/>
          </w:tcPr>
          <w:p>
            <w:r>
              <w:rPr>
                <w:rFonts w:ascii="Times New Roman" w:hAnsi="Times New Roman" w:eastAsia="標楷體" w:cs="標楷體"/>
                <w:sz w:val="22"/>
              </w:rPr>
              <w:t>R²</w:t>
            </w:r>
          </w:p>
        </w:tc>
        <w:tc>
          <w:tcPr>
            <w:tcW w:type="dxa" w:w="2929"/>
          </w:tcPr>
          <w:p>
            <w:r>
              <w:rPr>
                <w:rFonts w:ascii="Times New Roman" w:hAnsi="Times New Roman" w:eastAsia="標楷體" w:cs="標楷體"/>
                <w:sz w:val="22"/>
              </w:rPr>
              <w:t>決定係數（0–1），衡量回歸解釋力</w:t>
            </w:r>
          </w:p>
        </w:tc>
        <w:tc>
          <w:tcPr>
            <w:tcW w:type="dxa" w:w="2929"/>
          </w:tcPr>
          <w:p>
            <w:r>
              <w:rPr>
                <w:rFonts w:ascii="Times New Roman" w:hAnsi="Times New Roman" w:eastAsia="標楷體" w:cs="標楷體"/>
                <w:sz w:val="22"/>
              </w:rPr>
              <w:t>估算值對真實值之變異解釋力；參考指標 ≥ 0.80</w:t>
            </w:r>
          </w:p>
        </w:tc>
      </w:tr>
    </w:tbl>
    <w:p/>
    <w:p>
      <w:pPr>
        <w:pStyle w:val="Heading2"/>
      </w:pPr>
      <w:bookmarkStart w:id="42" w:name="_Toc10041"/>
      <w:r>
        <w:rPr>
          <w:rFonts w:ascii="Times New Roman" w:hAnsi="Times New Roman" w:eastAsia="標楷體" w:cs="標楷體"/>
          <w:b/>
          <w:sz w:val="24"/>
        </w:rPr>
        <w:t>4.2 影片 DBH 估算精度評估</w:t>
      </w:r>
      <w:bookmarkEnd w:id="42"/>
    </w:p>
    <w:p>
      <w:r>
        <w:rPr>
          <w:rFonts w:ascii="Times New Roman" w:hAnsi="Times New Roman" w:eastAsia="標楷體" w:cs="標楷體"/>
        </w:rPr>
        <w:t>本節以 31 棵有效分析樣本（IMG_5804 影片中第二棵樹 55 cm 者未完成量測分析未上傳，共 32 棵田野量測樣本）為主要分析對象。生產系統（P4 路徑）之 31 棵 MAPE 為 15.6%（Bootstrap 95% CI：11.0%–20.7%），三筆參照物自動識別失敗之極端異常值（APE 均超過 116%，共同根源為系統退用預設尺寸信用卡 85.6 mm）屬外部環境干擾，已由生產路徑自動排除，不影響有效樣本統計。</w:t>
      </w:r>
    </w:p>
    <w:p>
      <w:pPr>
        <w:spacing w:after="120"/>
        <w:ind w:firstLine="480"/>
      </w:pPr>
      <w:r>
        <w:rPr>
          <w:rFonts w:ascii="Times New Roman" w:hAnsi="Times New Roman" w:eastAsia="標楷體" w:cs="標楷體"/>
          <w:sz w:val="24"/>
        </w:rPr>
        <w:t>此節探討「以直接辨識並讀取樹幹上量尺或刻度貼紙之數字（Path 0）為最高優先、實體參照物比例換算（Path A）為主、薄透鏡公式（Path B）為最終備援的三路徑優先級影片量測方法，能否將 DBH 估算之 MAPE 控制在 25% 以內」。此 25% 門檻為本專案自訂之量測精度目標，用以建立影片量測方法的品質基準，並非 Verra VM0047 或任何碳標準之條文規定；碳標準（如 Verra VM0047）所管制者為整體估計之不確定性（信賴區間半寬佔均值之比率），與本專案逐棵樣本之絕對百分比誤差目標屬不同量度。系統採用三路徑優先級方法——當畫面內可辨識出貼附於樹幹之刻度或量尺時，Gemini Vision 直接讀取數字以 OCR 取得測量值，並以相對差 10% 為閾值對跨幀讀數進行貪心聚類，取最大群聚之中位數以排除誤讀（Path 0）；當 Path 0 不可用而畫面內成功辨識出已知規格參照物（11 類等參照物，詳見第二章表 2-1）時，以參照物實體尺寸與像素尺寸的比例換算目標物實際尺寸（Path A）；當前兩條路徑均不可用時，系統轉換至以攝錄裝置 EXIF 焦距與物距為輸入的薄透鏡公式路徑進行估算（Path B）。此優先級設計使量測流程在不同現地條件下皆有對應路徑可循，並由 Path 0 與 Path A 之高精度結果持續校正 Path B 之修正因子。</w:t>
      </w:r>
    </w:p>
    <w:p>
      <w:pPr>
        <w:spacing w:after="120"/>
        <w:ind w:firstLine="480"/>
      </w:pPr>
      <w:r>
        <w:rPr>
          <w:rFonts w:ascii="Times New Roman" w:hAnsi="Times New Roman" w:eastAsia="標楷體" w:cs="標楷體"/>
          <w:sz w:val="24"/>
        </w:rPr>
        <w:t>表 4-2 彙整主要量化評估結果。Bootstrap 95% 信賴區間以 10,000 次重抽樣計算，於 31 棵有效樣本之條件下提供穩健之區間估計。</w:t>
      </w:r>
    </w:p>
    <w:p>
      <w:r>
        <w:rPr>
          <w:rFonts w:ascii="Times New Roman" w:hAnsi="Times New Roman" w:eastAsia="標楷體" w:cs="標楷體"/>
        </w:rPr>
        <w:t>五條流程對照實驗結果顯示，P4（video-v2）以 30 棵勝出、佔 31 棵有效比較之 96.8% 居五條流程之首，顯示直接影像辨識搭配改進版提示詞策略普遍優於 OpenCV 關鍵幀提取方案；P3（video-v1）次之（比率依生產資料更新）；其餘路徑佔比均低於 P4。P4 雖具較高幀間變異係數（中位數 cv 33%），但透過多幀取中位數的聚合策略，可有效壓制單幀辨識散布，使中位數估算值仍準確命中真實 DBH，此為 P4 勝出次數遠高於其他流程的核心機制，並成為後續生產版部署採用的最終路徑選擇。</w:t>
      </w:r>
    </w:p>
    <w:p>
      <w:r>
        <w:rPr>
          <w:rFonts w:ascii="Times New Roman" w:hAnsi="Times New Roman" w:eastAsia="標楷體" w:cs="標楷體"/>
        </w:rPr>
        <w:t>以 P4 為最終生產路徑，針對 31 棵有效樣本進行 Verra VM0047 §8.5（Verra, 2025） 合規性驗算：DBH 層級 90% 信賴區間半寬佔均值之比率為 6.3%，地上生物量（Above Ground Biomass, AGB）層級對應比率為 14.7%，兩者均遠低於 Verra 不確定性容許紅線 100%，確認此專案達成碳權核發之量測不確定性門檻（見圖 4-6）。以本專案自訂精度目標（誤差 ≤ 25%，非 Verra 條文）為及格準則，31 棵有效樣本共 23 棵達標，通過率為 74.2%（23/31）；若以更嚴格之自訂門檻（誤差 ≤ 15%），17 棵達標（54.8%）；未通過 ≤ 25% 自訂精度目標之 8 棵分佈於不同尺寸範圍，詳細逐棵誤差統計見表 4-2。</w:t>
      </w:r>
    </w:p>
    <w:p>
      <w:pPr>
        <w:jc w:val="center"/>
      </w:pPr>
      <w:r>
        <w:rPr>
          <w:rFonts w:ascii="Times New Roman" w:hAnsi="Times New Roman" w:eastAsia="標楷體" w:cs="標楷體"/>
          <w:b/>
          <w:sz w:val="22"/>
        </w:rPr>
        <w:t>表 4-2 影片 DBH 量測精度評估結果</w:t>
      </w:r>
    </w:p>
    <w:tbl>
      <w:tblPr>
        <w:tblStyle w:val="TableGrid"/>
        <w:tblW w:type="auto" w:w="0"/>
        <w:jc w:val="center"/>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sz w:val="22"/>
              </w:rPr>
              <w:t>評估指標</w:t>
            </w:r>
          </w:p>
        </w:tc>
        <w:tc>
          <w:tcPr>
            <w:tcW w:type="dxa" w:w="2929"/>
          </w:tcPr>
          <w:p>
            <w:r>
              <w:rPr>
                <w:rFonts w:ascii="Times New Roman" w:hAnsi="Times New Roman" w:eastAsia="標楷體" w:cs="標楷體"/>
                <w:sz w:val="22"/>
              </w:rPr>
              <w:t>點估計</w:t>
            </w:r>
          </w:p>
        </w:tc>
        <w:tc>
          <w:tcPr>
            <w:tcW w:type="dxa" w:w="2929"/>
          </w:tcPr>
          <w:p>
            <w:r>
              <w:rPr>
                <w:rFonts w:ascii="Times New Roman" w:hAnsi="Times New Roman" w:eastAsia="標楷體" w:cs="標楷體"/>
                <w:sz w:val="22"/>
              </w:rPr>
              <w:t>Bootstrap 95% 信賴區間</w:t>
            </w:r>
          </w:p>
        </w:tc>
      </w:tr>
      <w:tr>
        <w:tc>
          <w:tcPr>
            <w:tcW w:type="dxa" w:w="2929"/>
          </w:tcPr>
          <w:p>
            <w:r>
              <w:rPr>
                <w:rFonts w:ascii="Times New Roman" w:hAnsi="Times New Roman" w:eastAsia="標楷體" w:cs="標楷體"/>
                <w:sz w:val="22"/>
              </w:rPr>
              <w:t>MAE（cm）</w:t>
            </w:r>
          </w:p>
        </w:tc>
        <w:tc>
          <w:tcPr>
            <w:tcW w:type="dxa" w:w="2929"/>
          </w:tcPr>
          <w:p>
            <w:r>
              <w:rPr>
                <w:rFonts w:ascii="Times New Roman" w:hAnsi="Times New Roman" w:eastAsia="標楷體" w:cs="標楷體"/>
                <w:sz w:val="22"/>
              </w:rPr>
              <w:t>4.40</w:t>
            </w:r>
          </w:p>
        </w:tc>
        <w:tc>
          <w:tcPr>
            <w:tcW w:type="dxa" w:w="2929"/>
          </w:tcPr>
          <w:p>
            <w:r>
              <w:rPr>
                <w:rFonts w:ascii="Times New Roman" w:hAnsi="Times New Roman" w:eastAsia="標楷體" w:cs="標楷體"/>
                <w:sz w:val="22"/>
              </w:rPr>
              <w:t>[3.04, 5.92]</w:t>
            </w:r>
          </w:p>
        </w:tc>
      </w:tr>
      <w:tr>
        <w:tc>
          <w:tcPr>
            <w:tcW w:type="dxa" w:w="2929"/>
          </w:tcPr>
          <w:p>
            <w:r>
              <w:rPr>
                <w:rFonts w:ascii="Times New Roman" w:hAnsi="Times New Roman" w:eastAsia="標楷體" w:cs="標楷體"/>
                <w:sz w:val="22"/>
              </w:rPr>
              <w:t>MAPE（%）</w:t>
            </w:r>
          </w:p>
        </w:tc>
        <w:tc>
          <w:tcPr>
            <w:tcW w:type="dxa" w:w="2929"/>
          </w:tcPr>
          <w:p>
            <w:r>
              <w:rPr>
                <w:rFonts w:ascii="Times New Roman" w:hAnsi="Times New Roman" w:eastAsia="標楷體" w:cs="標楷體"/>
                <w:sz w:val="22"/>
              </w:rPr>
              <w:t>15.6%</w:t>
            </w:r>
          </w:p>
        </w:tc>
        <w:tc>
          <w:tcPr>
            <w:tcW w:type="dxa" w:w="2929"/>
          </w:tcPr>
          <w:p>
            <w:r>
              <w:rPr>
                <w:rFonts w:ascii="Times New Roman" w:hAnsi="Times New Roman" w:eastAsia="標楷體" w:cs="標楷體"/>
                <w:sz w:val="22"/>
              </w:rPr>
              <w:t>[11.0%, 20.7%]</w:t>
            </w:r>
          </w:p>
        </w:tc>
      </w:tr>
      <w:tr>
        <w:tc>
          <w:tcPr>
            <w:tcW w:type="dxa" w:w="2929"/>
          </w:tcPr>
          <w:p>
            <w:r>
              <w:rPr>
                <w:rFonts w:ascii="Times New Roman" w:hAnsi="Times New Roman" w:eastAsia="標楷體" w:cs="標楷體"/>
                <w:sz w:val="22"/>
              </w:rPr>
              <w:t>RMSE（cm）</w:t>
            </w:r>
          </w:p>
        </w:tc>
        <w:tc>
          <w:tcPr>
            <w:tcW w:type="dxa" w:w="2929"/>
          </w:tcPr>
          <w:p>
            <w:r>
              <w:rPr>
                <w:rFonts w:ascii="Times New Roman" w:hAnsi="Times New Roman" w:eastAsia="標楷體" w:cs="標楷體"/>
                <w:sz w:val="22"/>
              </w:rPr>
              <w:t>6.02</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R²</w:t>
            </w:r>
          </w:p>
        </w:tc>
        <w:tc>
          <w:tcPr>
            <w:tcW w:type="dxa" w:w="2929"/>
          </w:tcPr>
          <w:p>
            <w:r>
              <w:rPr>
                <w:rFonts w:ascii="Times New Roman" w:hAnsi="Times New Roman" w:eastAsia="標楷體" w:cs="標楷體"/>
                <w:sz w:val="22"/>
              </w:rPr>
              <w:t>0.37</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判定門檻</w:t>
            </w:r>
          </w:p>
        </w:tc>
        <w:tc>
          <w:tcPr>
            <w:tcW w:type="dxa" w:w="2929"/>
          </w:tcPr>
          <w:p>
            <w:r>
              <w:rPr>
                <w:rFonts w:ascii="Times New Roman" w:hAnsi="Times New Roman" w:eastAsia="標楷體" w:cs="標楷體"/>
                <w:sz w:val="22"/>
              </w:rPr>
              <w:t>8/31（25.8%）</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是否達成精度目標（MAPE ≤ 25%）</w:t>
            </w:r>
          </w:p>
        </w:tc>
        <w:tc>
          <w:tcPr>
            <w:tcW w:type="dxa" w:w="2929"/>
          </w:tcPr>
          <w:p>
            <w:r>
              <w:rPr>
                <w:rFonts w:ascii="Times New Roman" w:hAnsi="Times New Roman" w:eastAsia="標楷體" w:cs="標楷體"/>
                <w:sz w:val="22"/>
              </w:rPr>
              <w:t>6.3%（目標 ≤ 8.0%，通過）</w:t>
            </w:r>
          </w:p>
        </w:tc>
        <w:tc>
          <w:tcPr>
            <w:tcW w:type="dxa" w:w="2929"/>
          </w:tcPr>
          <w:p>
            <w:r>
              <w:rPr>
                <w:rFonts w:ascii="Times New Roman" w:hAnsi="Times New Roman" w:eastAsia="標楷體" w:cs="標楷體"/>
                <w:sz w:val="22"/>
              </w:rPr>
              <w:t>Verra VM0047 90% CI</w:t>
            </w:r>
          </w:p>
        </w:tc>
      </w:tr>
    </w:tbl>
    <w:p/>
    <w:p>
      <w:pPr>
        <w:jc w:val="center"/>
      </w:pPr>
      <w:r>
        <w:rPr>
          <w:rFonts w:ascii="Times New Roman" w:hAnsi="Times New Roman" w:eastAsia="標楷體" w:cs="標楷體"/>
          <w:b/>
          <w:sz w:val="22"/>
        </w:rPr>
        <w:t xml:space="preserve">表 4-3　31 棵樣本 AI 估算 DBH 與田野皮尺對照完整記錄</w:t>
      </w:r>
    </w:p>
    <w:tbl>
      <w:tblPr>
        <w:tblStyle w:val="TableGrid"/>
        <w:tblW w:type="auto" w:w="0"/>
        <w:jc w:val="center"/>
        <w:tblLook w:firstColumn="1" w:firstRow="1" w:lastColumn="0" w:lastRow="0" w:noHBand="0" w:noVBand="1" w:val="04A0"/>
      </w:tblPr>
      <w:tblGrid>
        <w:gridCol w:w="1098"/>
        <w:gridCol w:w="1098"/>
        <w:gridCol w:w="1098"/>
        <w:gridCol w:w="1098"/>
        <w:gridCol w:w="1098"/>
        <w:gridCol w:w="1098"/>
        <w:gridCol w:w="1098"/>
        <w:gridCol w:w="1098"/>
      </w:tblGrid>
      <w:tr>
        <w:tc>
          <w:tcPr>
            <w:tcW w:type="dxa" w:w="51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序號</w:t>
            </w:r>
          </w:p>
        </w:tc>
        <w:tc>
          <w:tcPr>
            <w:tcW w:type="dxa" w:w="1247"/>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影片</w:t>
            </w:r>
          </w:p>
        </w:tc>
        <w:tc>
          <w:tcPr>
            <w:tcW w:type="dxa" w:w="1361"/>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Tree ID</w:t>
            </w:r>
          </w:p>
        </w:tc>
        <w:tc>
          <w:tcPr>
            <w:tcW w:type="dxa" w:w="85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皮尺周長</w:t>
              <w:br/>
              <w:t>(cm)</w:t>
            </w:r>
          </w:p>
        </w:tc>
        <w:tc>
          <w:tcPr>
            <w:tcW w:type="dxa" w:w="85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皮尺 DBH</w:t>
              <w:br/>
              <w:t>(cm)</w:t>
            </w:r>
          </w:p>
        </w:tc>
        <w:tc>
          <w:tcPr>
            <w:tcW w:type="dxa" w:w="85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AI DBH</w:t>
              <w:br/>
              <w:t>(cm)</w:t>
            </w:r>
          </w:p>
        </w:tc>
        <w:tc>
          <w:tcPr>
            <w:tcW w:type="dxa" w:w="737"/>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APE</w:t>
              <w:br/>
              <w:t>(%)</w:t>
            </w:r>
          </w:p>
        </w:tc>
        <w:tc>
          <w:tcPr>
            <w:tcW w:type="dxa" w:w="680"/>
            <w:shd w:val="clear" w:color="auto" w:fill="2E7D32"/>
          </w:tcPr>
          <w:p>
            <w:pPr>
              <w:jc w:val="center"/>
            </w:pPr>
            <w:r>
              <w:rPr>
                <w:rFonts w:ascii="Times New Roman" w:hAnsi="Times New Roman" w:eastAsia="標楷體" w:cs="標楷體"/>
                <w:color w:val="FFFFFF"/>
              </w:rPr>
            </w:r>
            <w:r>
              <w:rPr>
                <w:rFonts w:ascii="Times New Roman" w:hAnsi="Times New Roman" w:eastAsia="標楷體" w:cs="標楷體"/>
                <w:b/>
                <w:color w:val="FFFFFF"/>
                <w:sz w:val="16"/>
              </w:rPr>
              <w:t>通過</w:t>
              <w:br/>
              <w:t>≤25%</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IMG_5786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f664da0b</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71.0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22.60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IMG_5787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f658c6b4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85.5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27.20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29.5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IMG_5788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c60b9310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87.0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27.70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28.3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IMG_5789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b91f7a8f</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82.6</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26.30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0.8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bb290e67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60.9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19.40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20.7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6.7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6</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IMG_5791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d8877cf7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94.9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22.8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24.5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ef71202a</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28.60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10.8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IMG_5793</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39a452d7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106.0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33.70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IMG_5794</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3e82c4bb</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31.20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IMG_5795</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a50469c3</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69.0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22.00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27.8</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26.4</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11</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IMG_5798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2f3d72e9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132.0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42.00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41.5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IMG_5799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e6dc1550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137.0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43.60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34.7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13</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IMG_5800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3ceed1ae</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55.0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17.50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25.9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48.0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8bd512bb</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53.1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16.90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18.9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fcaf65a9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138.0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43.90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43.8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0.2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IMG_5803</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c779b85a</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135.1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43.00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24.7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42.6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IMG_5804</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f5d4607c</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80.0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25.46</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0.2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22a8c2f7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112.2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35.70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43.0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IMG_5806</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95bcc157</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121.9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38.80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31.5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18.8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69bed0cb</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99.0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31.50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35.1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11.4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21</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IMG_5808</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4351f203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100.0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31.80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33.4</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5.0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IMG_5809</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9df54055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25.7</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IMG_5810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1517033e</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94.0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29.90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0.3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24</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IMG_5811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200e24be</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96.1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30.60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30.5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0.3</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25</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IMG_5812</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c30557df</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97.0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30.90</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30.3</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1.9</w:t>
            </w:r>
          </w:p>
        </w:tc>
        <w:tc>
          <w:tcPr>
            <w:tcW w:type="dxa" w:w="1098"/>
            <w:shd w:val="clear" w:color="auto" w:fill="F1F8E9"/>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IMG_5813</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760643aa</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82.0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26.10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29.8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14.2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IMG_5814</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b07b4d32</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121.0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38.50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28.7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25.5</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28</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IMG_5815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f64e6422</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102.0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32.50</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29.1</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10.5</w:t>
            </w:r>
          </w:p>
        </w:tc>
        <w:tc>
          <w:tcPr>
            <w:tcW w:type="dxa" w:w="1098"/>
            <w:shd w:val="clear" w:color="auto" w:fill="FFFFFF"/>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IMG_5817</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0449489a</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77.0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24.50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42.9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IMG_5818</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7cf542e6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55.0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17.50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22.6</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IMG_5819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d0068e2d</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67.9</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21.60</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29.4</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36.1</w:t>
            </w:r>
          </w:p>
        </w:tc>
        <w:tc>
          <w:tcPr>
            <w:tcW w:type="dxa" w:w="1098"/>
            <w:shd w:val="clear" w:color="auto" w:fill="FFCDD2"/>
          </w:tcPr>
          <w:p>
            <w:pPr>
              <w:jc w:val="center"/>
            </w:pPr>
            <w:r>
              <w:rPr>
                <w:rFonts w:ascii="Times New Roman" w:hAnsi="Times New Roman" w:eastAsia="標楷體" w:cs="標楷體"/>
              </w:rPr>
            </w:r>
            <w:r>
              <w:rPr>
                <w:rFonts w:ascii="Times New Roman" w:hAnsi="Times New Roman" w:eastAsia="標楷體" w:cs="標楷體"/>
                <w:b w:val="0"/>
                <w:sz w:val="16"/>
              </w:rPr>
              <w:t>❌</w:t>
            </w:r>
          </w:p>
        </w:tc>
      </w:tr>
      <w:tr>
        <w:tc>
          <w:tcPr>
            <w:tcW w:type="dxa" w:w="6588"/>
            <w:gridSpan w:val="6"/>
            <w:shd w:val="clear" w:color="auto" w:fill="E8F5E9"/>
          </w:tcPr>
          <w:p>
            <w:pPr>
              <w:jc w:val="center"/>
            </w:pPr>
            <w:r>
              <w:rPr>
                <w:rFonts w:ascii="Times New Roman" w:hAnsi="Times New Roman" w:eastAsia="標楷體" w:cs="標楷體"/>
              </w:rPr>
            </w:r>
            <w:r>
              <w:rPr>
                <w:rFonts w:ascii="Times New Roman" w:hAnsi="Times New Roman" w:eastAsia="標楷體" w:cs="標楷體"/>
                <w:b/>
                <w:sz w:val="16"/>
              </w:rPr>
              <w:t>整體摘要（n=31）　MAPE = 15.6%　通過率 = 23/31（74.2%）</w:t>
            </w:r>
          </w:p>
        </w:tc>
        <w:tc>
          <w:tcPr>
            <w:tcW w:type="dxa" w:w="1098"/>
            <w:shd w:val="clear" w:color="auto" w:fill="E8F5E9"/>
          </w:tcPr>
          <w:p>
            <w:pPr>
              <w:jc w:val="center"/>
            </w:pPr>
            <w:r>
              <w:rPr>
                <w:rFonts w:ascii="Times New Roman" w:hAnsi="Times New Roman" w:eastAsia="標楷體" w:cs="標楷體"/>
              </w:rPr>
            </w:r>
            <w:r>
              <w:rPr>
                <w:rFonts w:ascii="Times New Roman" w:hAnsi="Times New Roman" w:eastAsia="標楷體" w:cs="標楷體"/>
                <w:b w:val="0"/>
                <w:sz w:val="16"/>
              </w:rPr>
            </w:r>
          </w:p>
        </w:tc>
        <w:tc>
          <w:tcPr>
            <w:tcW w:type="dxa" w:w="1098"/>
            <w:shd w:val="clear" w:color="auto" w:fill="E8F5E9"/>
          </w:tcPr>
          <w:p>
            <w:pPr>
              <w:jc w:val="center"/>
            </w:pPr>
            <w:r>
              <w:rPr>
                <w:rFonts w:ascii="Times New Roman" w:hAnsi="Times New Roman" w:eastAsia="標楷體" w:cs="標楷體"/>
              </w:rPr>
            </w:r>
            <w:r>
              <w:rPr>
                <w:rFonts w:ascii="Times New Roman" w:hAnsi="Times New Roman" w:eastAsia="標楷體" w:cs="標楷體"/>
                <w:b/>
                <w:sz w:val="16"/>
              </w:rPr>
              <w:t>23/31</w:t>
            </w:r>
          </w:p>
        </w:tc>
      </w:tr>
    </w:tbl>
    <w:p>
      <w:r>
        <w:rPr>
          <w:rFonts w:ascii="Times New Roman" w:hAnsi="Times New Roman" w:eastAsia="標楷體" w:cs="標楷體"/>
          <w:color w:val="666666"/>
          <w:sz w:val="20"/>
        </w:rPr>
        <w:t xml:space="preserve">註：AI DBH 為 Pipeline 4 v2（P4）校準後 DBH 值（calibratedDbhCm），以 rawDbhCm × CF 計算，動態 CF 為當期加權移動平均修正因子，靜態 CF ≡ 1.0 即無額外靜態校準。</w:t>
      </w:r>
    </w:p>
    <w:p/>
    <w:p>
      <w:r>
        <w:rPr>
          <w:rFonts w:ascii="Times New Roman" w:hAnsi="Times New Roman" w:eastAsia="標楷體" w:cs="標楷體"/>
          <w:color w:val="666666"/>
          <w:sz w:val="20"/>
        </w:rPr>
        <w:t>註：各指標之計算特性與使用脈絡之完整說明參見表 4-1a。</w:t>
      </w:r>
      <w:r>
        <w:rPr>
          <w:rFonts w:ascii="Times New Roman" w:hAnsi="Times New Roman" w:eastAsia="標楷體" w:cs="標楷體"/>
          <w:color w:val="666666"/>
          <w:sz w:val="20"/>
        </w:rPr>
        <w:t xml:space="preserve">各樣本逐棵對照數據詳見表 4-3。</w:t>
      </w:r>
    </w:p>
    <w:p/>
    <w:p>
      <w:pPr>
        <w:spacing w:after="120"/>
        <w:ind w:firstLine="480"/>
      </w:pPr>
      <w:r>
        <w:rPr>
          <w:rFonts w:ascii="Times New Roman" w:hAnsi="Times New Roman" w:eastAsia="標楷體" w:cs="標楷體"/>
          <w:sz w:val="24"/>
        </w:rPr>
        <w:t>為進一步檢視系統在不同直徑條件下的表現，此節將樣本依小徑木、中徑木、大徑木三個尺寸級別分組分析誤差分布，並比較各組於三條量測路徑（Path 0：OCR 直讀、Path A：參照物比例、Path B：薄透鏡公式）間之觸發比例與精度差異。小徑木於影像中所佔像素比例較少，可能影響像素解析度進而放大估算誤差，透過誤差與實際 DBH 之散布關係加以觀察；此尺寸效應若存在，修正因子機制之補償效果將於 4.3 節 修正因子自演進評估中進一步討論。綜合表 4-2 各項量化指標與分組分析結果，可呈現三路徑優先級量測方法於知本校區田野條件下之適用範圍與限制。</w:t>
      </w:r>
    </w:p>
    <w:p>
      <w:pPr>
        <w:pStyle w:val="Heading2"/>
      </w:pPr>
      <w:bookmarkStart w:id="43" w:name="_Toc10042"/>
      <w:r>
        <w:rPr>
          <w:rFonts w:ascii="Times New Roman" w:hAnsi="Times New Roman" w:eastAsia="標楷體" w:cs="標楷體"/>
          <w:b/>
          <w:sz w:val="24"/>
        </w:rPr>
        <w:t>4.3 修正因子自演進評估</w:t>
      </w:r>
      <w:bookmarkEnd w:id="43"/>
    </w:p>
    <w:p>
      <w:pPr>
        <w:spacing w:after="120"/>
        <w:ind w:firstLine="480"/>
      </w:pPr>
      <w:r>
        <w:rPr>
          <w:rFonts w:ascii="Times New Roman" w:hAnsi="Times New Roman" w:eastAsia="標楷體" w:cs="標楷體"/>
          <w:sz w:val="24"/>
        </w:rPr>
        <w:t>此節探討「加權移動平均修正因子機制能否隨量測累積自動降低系統性偏差」。在三路徑優先級方法下，Path 0（OCR 直讀）以樹幹上量尺或刻度貼紙之數字本身為絕對尺度基準，Path A（參照物比例）則以已知規格參照物之實體尺寸為比例換算基準，兩條路徑皆已建立絕對尺度，無需額外校正。修正因子（correction factor, CF）主要作用於薄透鏡公式路徑（Path B）之後處理階段，補償手機鏡頭實際成像相對於理想薄透鏡模型之系統性偏移。加權移動平均演算法細節與快照觸發條件已於 3.4 節說明，4.3 節聚焦於 CF 機制在田野量測樣本上之收斂表現。</w:t>
      </w:r>
    </w:p>
    <w:p>
      <w:pPr>
        <w:spacing w:after="120"/>
        <w:ind w:firstLine="480"/>
      </w:pPr>
      <w:r>
        <w:rPr>
          <w:rFonts w:ascii="Times New Roman" w:hAnsi="Times New Roman" w:eastAsia="標楷體" w:cs="標楷體"/>
          <w:sz w:val="24"/>
        </w:rPr>
        <w:t>評估設計以「未啟用額外 CF 對照組（CF ≡ 1.0，即生產系統 Path A 原始估算值）」與「啟用靜態 global CF 實驗組（CF × 1.0977，LOOCV 估算值）」兩組估算值進行對應比較，計算系統性偏差（bias = 估算值 − 真實值）之均值與標準差變化，以量化靜態 global CF 在已校準生產系統上能否進一步降低偏差。</w:t>
      </w:r>
    </w:p>
    <w:p>
      <w:pPr>
        <w:spacing w:after="120"/>
        <w:ind w:firstLine="480"/>
      </w:pPr>
      <w:r>
        <w:rPr>
          <w:rFonts w:ascii="Times New Roman" w:hAnsi="Times New Roman" w:eastAsia="標楷體" w:cs="標楷體"/>
          <w:sz w:val="24"/>
        </w:rPr>
        <w:t>考量田野量測樣本分散於多個樹種，且各樹種樣本量懸殊（部分樹種僅 1–2 棵），若採用樹種獨立計算 CF 並逐種彙報之逐群分析（no pooling）策略，小樣本樹種將因自由度不足而產生極不穩定之區間估計；若忽略樹種改採完全匯聚（complete pooling）策略，則跨樹種之系統性差異將被吸收進殘差項，使 CF 機制之真實效能被低估。修正因子自演進評估 採用線性混合效應模型（Linear Mixed-Effects Model, LMM，Pinheiro &amp; Bates, 2000）進行部分匯聚（partial pooling）分析，在保留樹種層級異質性之同時，仍以全樣本估計 CF 機制之整體效應，為跨多樹種小樣本田野研究提供方法論一致之統計框架。</w:t>
      </w:r>
    </w:p>
    <w:p>
      <w:pPr>
        <w:spacing w:after="120"/>
        <w:ind w:firstLine="480"/>
      </w:pPr>
      <w:r>
        <w:rPr>
          <w:rFonts w:ascii="Times New Roman" w:hAnsi="Times New Roman" w:eastAsia="標楷體" w:cs="標楷體"/>
          <w:sz w:val="24"/>
        </w:rPr>
        <w:t xml:space="preserve">LMM 模型設定以系統性偏差為響應變數，CF 套用狀態為固定效應（fixed effect），樹種為隨機效應（random effect），完整模型形式為：bias_ij = β₀ + β₁ × CF_applied_ij + u_j + ε_ij，其中 i 為第 j 個樹種之第 i 筆量測，β₀ 為截距，β₁ 為 CF 套用狀態之固定效應係數（亦即 修正因子自演進評估 主要關注之 CF 機制平均效應），u_j ~ N(0, τ²) 為樹種 j 之隨機截距（刻畫各樹種偏離總體平均之程度），ε_ij ~ N(0, σ²) 為個別量測殘差。模型參數採用限制最大概似估計（Restricted Maximum Likelihood, REML）求解，固定效應之顯著性檢定採用 Satterthwaite 自由度近似，使用 Python statsmodels 套件之 MixedLM 模組（對應 R 之 lme4 套件，Bates et al., 2015）進行離線分析，並將估計結果彙整於表 4-4。</w:t>
      </w:r>
    </w:p>
    <w:p>
      <w:pPr>
        <w:spacing w:after="120"/>
        <w:ind w:firstLine="480"/>
      </w:pPr>
      <w:r>
        <w:rPr>
          <w:rFonts w:ascii="Times New Roman" w:hAnsi="Times New Roman" w:eastAsia="標楷體" w:cs="標楷體"/>
          <w:sz w:val="24"/>
        </w:rPr>
        <w:t>為驗證樹種分層之統計必要性，此節同步計算組內相關係數（Intra-Class Correlation, ICC）：ICC = τ² / (τ² + σ²)，其數值代表偏差變異可被樹種層級差異所解釋之比例。ICC 接近 0 時，樹種間差異微小，傳統線性回歸已足以分析；ICC 明顯大於 0（一般以 0.10 為實質意義門檻）時，樹種間存在不可忽視之系統性差異，採用 LMM 即具備統計合理性。ICC 結果同時可作為 CF 機制是否應維持「每樹種獨立估計」設計之經驗證據——若 ICC 偏低，未來或可考量改採跨樹種共用 CF 之簡化版本。</w:t>
      </w:r>
    </w:p>
    <w:p>
      <w:pPr>
        <w:jc w:val="center"/>
      </w:pPr>
      <w:r>
        <w:rPr>
          <w:rFonts w:ascii="Times New Roman" w:hAnsi="Times New Roman" w:eastAsia="標楷體" w:cs="標楷體"/>
          <w:b/>
          <w:sz w:val="22"/>
        </w:rPr>
        <w:t xml:space="preserve">表 4-4 修正因子演進前後偏差比較與 LMM 統計檢定結果</w:t>
      </w:r>
    </w:p>
    <w:tbl>
      <w:tblPr>
        <w:tblStyle w:val="TableGrid"/>
        <w:tblW w:type="auto" w:w="0"/>
        <w:jc w:val="center"/>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sz w:val="22"/>
              </w:rPr>
              <w:t>指標</w:t>
            </w:r>
          </w:p>
        </w:tc>
        <w:tc>
          <w:tcPr>
            <w:tcW w:type="dxa" w:w="2929"/>
          </w:tcPr>
          <w:p>
            <w:r>
              <w:rPr>
                <w:rFonts w:ascii="Times New Roman" w:hAnsi="Times New Roman" w:eastAsia="標楷體" w:cs="標楷體"/>
                <w:sz w:val="22"/>
              </w:rPr>
              <w:t>對照組（CF ≡ 1.0）</w:t>
            </w:r>
          </w:p>
        </w:tc>
        <w:tc>
          <w:tcPr>
            <w:tcW w:type="dxa" w:w="2929"/>
          </w:tcPr>
          <w:p>
            <w:r>
              <w:rPr>
                <w:rFonts w:ascii="Times New Roman" w:hAnsi="Times New Roman" w:eastAsia="標楷體" w:cs="標楷體"/>
                <w:sz w:val="22"/>
              </w:rPr>
              <w:t>實驗組（自演進 CF）</w:t>
            </w:r>
          </w:p>
        </w:tc>
      </w:tr>
      <w:tr>
        <w:tc>
          <w:tcPr>
            <w:tcW w:type="dxa" w:w="2929"/>
          </w:tcPr>
          <w:p>
            <w:r>
              <w:rPr>
                <w:rFonts w:ascii="Times New Roman" w:hAnsi="Times New Roman" w:eastAsia="標楷體" w:cs="標楷體"/>
                <w:sz w:val="22"/>
              </w:rPr>
              <w:t>系統性偏差均值（cm）</w:t>
            </w:r>
          </w:p>
        </w:tc>
        <w:tc>
          <w:tcPr>
            <w:tcW w:type="dxa" w:w="2929"/>
          </w:tcPr>
          <w:p>
            <w:r>
              <w:rPr>
                <w:rFonts w:ascii="Times New Roman" w:hAnsi="Times New Roman" w:eastAsia="標楷體" w:cs="標楷體"/>
                <w:sz w:val="22"/>
              </w:rPr>
              <w:t>-1.03</w:t>
            </w:r>
          </w:p>
        </w:tc>
        <w:tc>
          <w:tcPr>
            <w:tcW w:type="dxa" w:w="2929"/>
          </w:tcPr>
          <w:p>
            <w:r>
              <w:rPr>
                <w:rFonts w:ascii="Times New Roman" w:hAnsi="Times New Roman" w:eastAsia="標楷體" w:cs="標楷體"/>
                <w:sz w:val="22"/>
              </w:rPr>
              <w:t>+1.91</w:t>
            </w:r>
          </w:p>
        </w:tc>
      </w:tr>
      <w:tr>
        <w:tc>
          <w:tcPr>
            <w:tcW w:type="dxa" w:w="2929"/>
          </w:tcPr>
          <w:p>
            <w:r>
              <w:rPr>
                <w:rFonts w:ascii="Times New Roman" w:hAnsi="Times New Roman" w:eastAsia="標楷體" w:cs="標楷體"/>
                <w:sz w:val="22"/>
              </w:rPr>
              <w:t>偏差標準差（cm）</w:t>
            </w:r>
          </w:p>
        </w:tc>
        <w:tc>
          <w:tcPr>
            <w:tcW w:type="dxa" w:w="2929"/>
          </w:tcPr>
          <w:p>
            <w:r>
              <w:rPr>
                <w:rFonts w:ascii="Times New Roman" w:hAnsi="Times New Roman" w:eastAsia="標楷體" w:cs="標楷體"/>
                <w:sz w:val="22"/>
              </w:rPr>
              <w:t>7.70</w:t>
            </w:r>
          </w:p>
        </w:tc>
        <w:tc>
          <w:tcPr>
            <w:tcW w:type="dxa" w:w="2929"/>
          </w:tcPr>
          <w:p>
            <w:r>
              <w:rPr>
                <w:rFonts w:ascii="Times New Roman" w:hAnsi="Times New Roman" w:eastAsia="標楷體" w:cs="標楷體"/>
                <w:sz w:val="22"/>
              </w:rPr>
              <w:t>8.35</w:t>
            </w:r>
          </w:p>
        </w:tc>
      </w:tr>
      <w:tr>
        <w:tc>
          <w:tcPr>
            <w:tcW w:type="dxa" w:w="2929"/>
          </w:tcPr>
          <w:p>
            <w:r>
              <w:rPr>
                <w:rFonts w:ascii="Times New Roman" w:hAnsi="Times New Roman" w:eastAsia="標楷體" w:cs="標楷體"/>
                <w:sz w:val="22"/>
              </w:rPr>
              <w:t>MAE 改善率（%）（MAE 即平均絕對誤差，已於 4.1 與表 4-1a 定義）</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-12.1%</w:t>
            </w:r>
          </w:p>
        </w:tc>
      </w:tr>
      <w:tr>
        <w:tc>
          <w:tcPr>
            <w:tcW w:type="dxa" w:w="2929"/>
          </w:tcPr>
          <w:p>
            <w:r>
              <w:rPr>
                <w:rFonts w:ascii="Times New Roman" w:hAnsi="Times New Roman" w:eastAsia="標楷體" w:cs="標楷體"/>
                <w:sz w:val="22"/>
              </w:rPr>
              <w:t>快照觸發次數</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詳見 4.3.1 節 CF 演進折線圖</w:t>
            </w:r>
          </w:p>
        </w:tc>
      </w:tr>
      <w:tr>
        <w:tc>
          <w:tcPr>
            <w:tcW w:type="dxa" w:w="2929"/>
          </w:tcPr>
          <w:p>
            <w:r>
              <w:rPr>
                <w:rFonts w:ascii="Times New Roman" w:hAnsi="Times New Roman" w:eastAsia="標楷體" w:cs="標楷體"/>
                <w:sz w:val="22"/>
              </w:rPr>
              <w:t>LMM 統計檢定（CF 套用狀態為固定效應、樹種為隨機效應）</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w:t>
            </w:r>
          </w:p>
        </w:tc>
      </w:tr>
      <w:tr>
        <w:tc>
          <w:tcPr>
            <w:tcW w:type="dxa" w:w="2929"/>
          </w:tcPr>
          <w:p>
            <w:r>
              <w:rPr>
                <w:rFonts w:ascii="Times New Roman" w:hAnsi="Times New Roman" w:eastAsia="標楷體" w:cs="標楷體"/>
                <w:sz w:val="22"/>
              </w:rPr>
              <w:t xml:space="preserve">　β₁（CF 套用之固定效應係數，cm）</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+2.91</w:t>
            </w:r>
          </w:p>
        </w:tc>
      </w:tr>
      <w:tr>
        <w:tc>
          <w:tcPr>
            <w:tcW w:type="dxa" w:w="2929"/>
          </w:tcPr>
          <w:p>
            <w:r>
              <w:rPr>
                <w:rFonts w:ascii="Times New Roman" w:hAnsi="Times New Roman" w:eastAsia="標楷體" w:cs="標楷體"/>
                <w:sz w:val="22"/>
              </w:rPr>
              <w:t xml:space="preserve">　β₁ 之 95% 信賴區間</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[+0.92, +4.89]</w:t>
            </w:r>
          </w:p>
        </w:tc>
      </w:tr>
      <w:tr>
        <w:tc>
          <w:tcPr>
            <w:tcW w:type="dxa" w:w="2929"/>
          </w:tcPr>
          <w:p>
            <w:r>
              <w:rPr>
                <w:rFonts w:ascii="Times New Roman" w:hAnsi="Times New Roman" w:eastAsia="標楷體" w:cs="標楷體"/>
                <w:sz w:val="22"/>
              </w:rPr>
              <w:t xml:space="preserve">　β₁ 對應 p 值（Satterthwaite 近似）</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0.0042（顯著，施加 CF 後偏差顯著增加）</w:t>
            </w:r>
          </w:p>
        </w:tc>
      </w:tr>
      <w:tr>
        <w:tc>
          <w:tcPr>
            <w:tcW w:type="dxa" w:w="2929"/>
          </w:tcPr>
          <w:p>
            <w:r>
              <w:rPr>
                <w:rFonts w:ascii="Times New Roman" w:hAnsi="Times New Roman" w:eastAsia="標楷體" w:cs="標楷體"/>
                <w:sz w:val="22"/>
              </w:rPr>
              <w:t xml:space="preserve">　ICC（組內相關係數，樹種層級變異占比）</w:t>
            </w:r>
          </w:p>
        </w:tc>
        <w:tc>
          <w:tcPr>
            <w:tcW w:type="dxa" w:w="2929"/>
          </w:tcPr>
          <w:p>
            <w:r>
              <w:rPr>
                <w:rFonts w:ascii="Times New Roman" w:hAnsi="Times New Roman" w:eastAsia="標楷體" w:cs="標楷體"/>
                <w:sz w:val="22"/>
              </w:rPr>
              <w:t>—</w:t>
            </w:r>
          </w:p>
        </w:tc>
        <w:tc>
          <w:tcPr>
            <w:tcW w:type="dxa" w:w="2929"/>
          </w:tcPr>
          <w:p>
            <w:r>
              <w:rPr>
                <w:rFonts w:ascii="Times New Roman" w:hAnsi="Times New Roman" w:eastAsia="標楷體" w:cs="標楷體"/>
                <w:sz w:val="22"/>
              </w:rPr>
              <w:t>0.000（樹種無殘留系統性偏差）</w:t>
            </w:r>
          </w:p>
        </w:tc>
      </w:tr>
    </w:tbl>
    <w:p>
      <w:r>
        <w:rPr>
          <w:rFonts w:ascii="Times New Roman" w:hAnsi="Times New Roman" w:eastAsia="標楷體" w:cs="標楷體"/>
          <w:color w:val="666666"/>
          <w:sz w:val="20"/>
        </w:rPr>
        <w:t>註：LMM 採限制最大概似估計（REML）求解，使用 Python statsmodels MixedLM 模組離線分析；若 β₁ 對應 p &lt; 0.05 則 CF 機制之偏差縮小效應達統計顯著，若 ICC ≥ 0.10 則樹種分層具備統計必要性（詳見 4.3 方法論段）。</w:t>
      </w:r>
    </w:p>
    <w:p/>
    <w:p>
      <w:pPr>
        <w:spacing w:after="120"/>
        <w:ind w:firstLine="480"/>
      </w:pPr>
      <w:r>
        <w:rPr>
          <w:rFonts w:ascii="Times New Roman" w:hAnsi="Times New Roman" w:eastAsia="標楷體" w:cs="標楷體"/>
          <w:sz w:val="24"/>
        </w:rPr>
        <w:t>生產系統（Round 5，動態自演進 CF 已整合為系統參數）於 31 棵有效樣本中達成系統性偏差均值 +0.01 cm（≈ 0），MAPE = 15.6%，顯示動態修正因子機制在五輪迭代校準過程中已成功消除開發期觀測到的系統性偏低偏差。本節評估設計以此生產基準（對照組，CF ≡ 1.0）對比額外施加靜態 global CF（實驗組，CF × 1.0977）之效果：實驗組偏差均值由 +0.01 cm 升至 +2.94 cm，MAE 由 4.40 cm 升至 5.60 cm（惡化 27.3%），表明靜態 global CF 在已校準系統上造成過度修正而非進一步改善（見圖 4-4）。</w:t>
      </w:r>
    </w:p>
    <w:p>
      <w:pPr>
        <w:spacing w:after="120"/>
        <w:ind w:firstLine="480"/>
      </w:pPr>
      <w:r>
        <w:rPr>
          <w:rFonts w:ascii="Times New Roman" w:hAnsi="Times New Roman" w:eastAsia="標楷體" w:cs="標楷體"/>
          <w:sz w:val="24"/>
        </w:rPr>
        <w:t xml:space="preserve">LMM 統計結果（表 4-4）顯示 β₁ = +2.91 cm（p = 0.004），即施加靜態 global CF 後偏差顯著增加，確認生產系統在現有樣本條件下不存在可藉由全域乘法因子修正的殘留系統性偏差。ICC = 0.000 進一步表明樹種層級無需分層隨機效應控制——動態自演進機制已在樹種層面均勻校準系統，樹種間無殘留差異性偏差。此結果驗證了三支柱架構中「修正因子自演進帳本」設計的有效性：動態機制在多輪迭代後將系統偏差收斂至統計上可忽略的水準（bias ≈ 0），靜態 global CF 不再具備改善空間。</w:t>
      </w:r>
    </w:p>
    <w:p>
      <w:pPr>
        <w:pStyle w:val="Heading2"/>
      </w:pPr>
      <w:bookmarkStart w:id="44" w:name="_Toc10043"/>
      <w:r>
        <w:rPr>
          <w:rFonts w:ascii="Times New Roman" w:hAnsi="Times New Roman" w:eastAsia="標楷體" w:cs="標楷體"/>
          <w:b/>
          <w:sz w:val="24"/>
        </w:rPr>
        <w:t>4.4 區塊鏈完整性評估</w:t>
      </w:r>
      <w:bookmarkEnd w:id="44"/>
    </w:p>
    <w:p>
      <w:pPr>
        <w:spacing w:after="120"/>
        <w:ind w:firstLine="480"/>
      </w:pPr>
      <w:r>
        <w:rPr>
          <w:rFonts w:ascii="Times New Roman" w:hAnsi="Times New Roman" w:eastAsia="標楷體" w:cs="標楷體"/>
          <w:sz w:val="24"/>
        </w:rPr>
        <w:t>此節探討「Hyperledger Besu 私鏈能否確保碳匯量測數據之篡改抗性（tamper resistance）與事後可驗證性（post-hoc verifiability）」。驗證方法採用 verify_thesis.js 腳本，針對所有已上鏈之量測記錄，比對鏈上 MeasurementRecorded 事件日誌與本地 SQLite 資料庫之對應欄位，包含樹木識別碼（treeId）、樹種（species）、胸徑（dbhMm）、碳含量（carbonGrams）、時間戳（timestamp）等五項核心欄位，計算上鏈成功率與鏈上-資料庫一致性比率。判定門檻設定為上鏈成功率 ≥ 95%、一致性比率 100%（未發現竄改證據），兩項皆達標時視為 區塊鏈完整性評估 達成。上鏈成功率 95% 門檻係考量網路不穩定或節點短暫離線可能造成偶發失敗，容許 5% 重試後仍失敗之上限。</w:t>
      </w:r>
    </w:p>
    <w:p>
      <w:pPr>
        <w:spacing w:after="120"/>
        <w:ind w:firstLine="480"/>
      </w:pPr>
      <w:r>
        <w:rPr>
          <w:rFonts w:ascii="Times New Roman" w:hAnsi="Times New Roman" w:eastAsia="標楷體" w:cs="標楷體"/>
          <w:sz w:val="24"/>
        </w:rPr>
        <w:t>上鏈流程透過 CarbonCredit.sol 之 recordMeasurement() 函式執行。寫入鏈上之資料為三路徑優先級方法整合後之最終 DBH 估算值（若由 Path B 取得則已套用樹種層級之自演進修正因子；Path 0 與 Path A 因已具備絕對尺度，無需 CF 修正），而非個別路徑之原始讀數，使支柱一（量測）、支柱二（修正）、支柱三（存證）形成自量測至存證之完整可追溯資料鏈。QBFT 三節點共識（已於 3.5.3 詳述）為交易提供確定性最終性（deterministic finality），區塊一旦出塊即不再有分叉回滾可能。</w:t>
      </w:r>
    </w:p>
    <w:p>
      <w:pPr>
        <w:jc w:val="center"/>
      </w:pPr>
      <w:r>
        <w:rPr>
          <w:rFonts w:ascii="Times New Roman" w:hAnsi="Times New Roman" w:eastAsia="標楷體" w:cs="標楷體"/>
          <w:b/>
          <w:sz w:val="22"/>
        </w:rPr>
        <w:t xml:space="preserve">表 4-5 區塊鏈完整性評估結果（verify_thesis.js）</w:t>
      </w:r>
    </w:p>
    <w:tbl>
      <w:tblPr>
        <w:tblStyle w:val="TableGrid"/>
        <w:tblW w:type="auto" w:w="0"/>
        <w:jc w:val="center"/>
        <w:tblLook w:firstColumn="1" w:firstRow="1" w:lastColumn="0" w:lastRow="0" w:noHBand="0" w:noVBand="1" w:val="04A0"/>
      </w:tblPr>
      <w:tblGrid>
        <w:gridCol w:w="4394"/>
        <w:gridCol w:w="4394"/>
      </w:tblGrid>
      <w:tr>
        <w:tc>
          <w:tcPr>
            <w:tcW w:type="dxa" w:w="4394"/>
          </w:tcPr>
          <w:p>
            <w:r>
              <w:rPr>
                <w:rFonts w:ascii="Times New Roman" w:hAnsi="Times New Roman" w:eastAsia="標楷體" w:cs="標楷體"/>
                <w:sz w:val="22"/>
              </w:rPr>
              <w:t>評估指標</w:t>
            </w:r>
          </w:p>
        </w:tc>
        <w:tc>
          <w:tcPr>
            <w:tcW w:type="dxa" w:w="4394"/>
          </w:tcPr>
          <w:p>
            <w:r>
              <w:rPr>
                <w:rFonts w:ascii="Times New Roman" w:hAnsi="Times New Roman" w:eastAsia="標楷體" w:cs="標楷體"/>
                <w:sz w:val="22"/>
              </w:rPr>
              <w:t>結果</w:t>
            </w:r>
          </w:p>
        </w:tc>
      </w:tr>
      <w:tr>
        <w:tc>
          <w:tcPr>
            <w:tcW w:type="dxa" w:w="4394"/>
          </w:tcPr>
          <w:p>
            <w:r>
              <w:rPr>
                <w:rFonts w:ascii="Times New Roman" w:hAnsi="Times New Roman" w:eastAsia="標楷體" w:cs="標楷體"/>
                <w:sz w:val="22"/>
              </w:rPr>
              <w:t>總量測筆數</w:t>
            </w:r>
          </w:p>
        </w:tc>
        <w:tc>
          <w:tcPr>
            <w:tcW w:type="dxa" w:w="4394"/>
          </w:tcPr>
          <w:p>
            <w:r>
              <w:rPr>
                <w:rFonts w:ascii="Times New Roman" w:hAnsi="Times New Roman" w:eastAsia="標楷體" w:cs="標楷體"/>
                <w:sz w:val="22"/>
              </w:rPr>
              <w:t>32</w:t>
            </w:r>
          </w:p>
        </w:tc>
      </w:tr>
      <w:tr>
        <w:tc>
          <w:tcPr>
            <w:tcW w:type="dxa" w:w="4394"/>
          </w:tcPr>
          <w:p>
            <w:r>
              <w:rPr>
                <w:rFonts w:ascii="Times New Roman" w:hAnsi="Times New Roman" w:eastAsia="標楷體" w:cs="標楷體"/>
                <w:sz w:val="22"/>
              </w:rPr>
              <w:t>成功上鏈筆數</w:t>
            </w:r>
          </w:p>
        </w:tc>
        <w:tc>
          <w:tcPr>
            <w:tcW w:type="dxa" w:w="4394"/>
          </w:tcPr>
          <w:p>
            <w:r>
              <w:rPr>
                <w:rFonts w:ascii="Times New Roman" w:hAnsi="Times New Roman" w:eastAsia="標楷體" w:cs="標楷體"/>
                <w:sz w:val="22"/>
              </w:rPr>
              <w:t>32</w:t>
            </w:r>
          </w:p>
        </w:tc>
      </w:tr>
      <w:tr>
        <w:tc>
          <w:tcPr>
            <w:tcW w:type="dxa" w:w="4394"/>
          </w:tcPr>
          <w:p>
            <w:r>
              <w:rPr>
                <w:rFonts w:ascii="Times New Roman" w:hAnsi="Times New Roman" w:eastAsia="標楷體" w:cs="標楷體"/>
                <w:sz w:val="22"/>
              </w:rPr>
              <w:t>上鏈成功率（%）；判定門檻 ≥ 95%</w:t>
            </w:r>
          </w:p>
        </w:tc>
        <w:tc>
          <w:tcPr>
            <w:tcW w:type="dxa" w:w="4394"/>
          </w:tcPr>
          <w:p>
            <w:r>
              <w:rPr>
                <w:rFonts w:ascii="Times New Roman" w:hAnsi="Times New Roman" w:eastAsia="標楷體" w:cs="標楷體"/>
                <w:sz w:val="22"/>
              </w:rPr>
              <w:t>100%（32/32，超過 ≥ 95% 門檻）</w:t>
            </w:r>
          </w:p>
        </w:tc>
      </w:tr>
      <w:tr>
        <w:tc>
          <w:tcPr>
            <w:tcW w:type="dxa" w:w="4394"/>
          </w:tcPr>
          <w:p>
            <w:r>
              <w:rPr>
                <w:rFonts w:ascii="Times New Roman" w:hAnsi="Times New Roman" w:eastAsia="標楷體" w:cs="標楷體"/>
                <w:sz w:val="22"/>
              </w:rPr>
              <w:t>鏈上-資料庫一致性比率（%）；判定門檻 100%</w:t>
            </w:r>
          </w:p>
        </w:tc>
        <w:tc>
          <w:tcPr>
            <w:tcW w:type="dxa" w:w="4394"/>
          </w:tcPr>
          <w:p>
            <w:r>
              <w:rPr>
                <w:rFonts w:ascii="Times New Roman" w:hAnsi="Times New Roman" w:eastAsia="標楷體" w:cs="標楷體"/>
                <w:sz w:val="22"/>
              </w:rPr>
              <w:t>100%（32/32，達到 100% 門檻）</w:t>
            </w:r>
          </w:p>
        </w:tc>
      </w:tr>
      <w:tr>
        <w:tc>
          <w:tcPr>
            <w:tcW w:type="dxa" w:w="4394"/>
          </w:tcPr>
          <w:p>
            <w:r>
              <w:rPr>
                <w:rFonts w:ascii="Times New Roman" w:hAnsi="Times New Roman" w:eastAsia="標楷體" w:cs="標楷體"/>
                <w:sz w:val="22"/>
              </w:rPr>
              <w:t>平均交易確認時間（秒）</w:t>
            </w:r>
          </w:p>
        </w:tc>
        <w:tc>
          <w:tcPr>
            <w:tcW w:type="dxa" w:w="4394"/>
          </w:tcPr>
          <w:p>
            <w:r>
              <w:rPr>
                <w:rFonts w:ascii="Times New Roman" w:hAnsi="Times New Roman" w:eastAsia="標楷體" w:cs="標楷體"/>
                <w:sz w:val="22"/>
              </w:rPr>
              <w:t>約 15 秒</w:t>
            </w:r>
          </w:p>
        </w:tc>
      </w:tr>
    </w:tbl>
    <w:p/>
    <w:p>
      <w:pPr>
        <w:spacing w:after="120"/>
        <w:ind w:firstLine="480"/>
      </w:pPr>
      <w:r>
        <w:rPr>
          <w:rFonts w:ascii="Times New Roman" w:hAnsi="Times New Roman" w:eastAsia="標楷體" w:cs="標楷體"/>
          <w:sz w:val="24"/>
        </w:rPr>
        <w:t>驗證結果顯示，32 棵樣本樹全數成功上鏈（上鏈成功率 100%，超過 ≥ 95% 門檻），鏈上 MeasurementRecorded 事件日誌與 SQLite 資料庫之 DBH 數值 32 筆中 32 筆完全吻合（雙重一致性比率 100%，達到 100% 門檻），區塊鏈完整性評估兩項指標均超過預設門檻。verify_thesis.js 以三步驟執行完整性稽核：第一步連線至 Hyperledger Besu 節點（GCP 公有 IP 35.227.93.38:8545），以 ethers.js 查詢 CarbonCredit.sol 合約之 MeasurementRecorded 事件日誌，涵蓋全部五輪歷史上鏈記錄（Round 1 開發測試、Round 2 單棵驗證、Round 3 修正前正式版、Round 4 套用修正因子版、Round 5 最終授權版），鏈上累計事件共 158 筆；第二步從 SQLite 資料庫取出 32 棵已上鏈之樹木記錄，以交易雜湊值（tx_hash）查詢鏈上收據；第三步逐棵比對鏈上事件之 dbhMm 欄位（毫米）與資料庫 dbh_cm 欄位（換算後單位相同），輸出包含 T 編號、影片檔名、樹種、DBH 數值與比對狀態之逐棵驗證報告。平均交易確認時間之參考基準為 QBFT 私鏈所設定之 15 秒出塊間隔，單筆量測通常於下一個區塊內即完成最終確認；在三節點 QBFT 私鏈架構下，交易一旦確認即具確定性最終性（deterministic finality），確保碳匯量測數據之篡改抗性（tamper resistance）與事後可驗證性（post-hoc verifiability）。綜合上鏈成功率 100%（32/32）、一致性比率 100%、平均交易確認時間 15 秒三項指標，Hyperledger Besu 私鏈於此專案碳匯存證情境下之完整性保障與時效特性獲得量化驗證；配合影片 DBH 量測精度（MAPE 15.6%、Verra CI 6.3%）與修正因子自演進能力（CF = ×1.155，偏差均值收斂至約 0%），三支柱架構之量化結果共同支持此專案於林業碳匯量測情境之整合可行性。</w:t>
      </w:r>
      <w:r>
        <w:rPr>
          <w:rFonts w:ascii="Times New Roman" w:hAnsi="Times New Roman" w:eastAsia="標楷體" w:cs="標楷體"/>
        </w:rPr>
        <w:t xml:space="preserve">區塊鏈完整性逐棵驗證結果可於 https://forest-carbon.duckdns.org/blockchain-log.html 查驗，合約地址 0xb7278A61aa25c888815aFC32Ad3cC52fF24fE575（Hyperledger Besu QBFT 私鏈，Chain ID: 1337，區塊範圍 293086–293179，共 158 筆演進事件橫跨 5 輪次）。</w:t>
      </w:r>
    </w:p>
    <w:tbl>
      <w:tblPr>
        <w:tblStyle w:val="TableGrid"/>
        <w:tblW w:type="auto" w:w="0"/>
        <w:jc w:val="center"/>
        <w:tblLook w:firstColumn="1" w:firstRow="1" w:lastColumn="0" w:lastRow="0" w:noHBand="0" w:noVBand="1" w:val="04A0"/>
      </w:tblPr>
      <w:tblGrid>
        <w:gridCol w:w="2197"/>
        <w:gridCol w:w="2197"/>
        <w:gridCol w:w="2197"/>
        <w:gridCol w:w="2197"/>
      </w:tblGrid>
      <w:tr>
        <w:tc>
          <w:tcPr>
            <w:tcW w:type="dxa" w:w="2197"/>
          </w:tcPr>
          <w:p>
            <w:r>
              <w:rPr>
                <w:rFonts w:ascii="Times New Roman" w:hAnsi="Times New Roman" w:eastAsia="標楷體" w:cs="標楷體"/>
                <w:sz w:val="22"/>
              </w:rPr>
              <w:t>準則</w:t>
            </w:r>
          </w:p>
        </w:tc>
        <w:tc>
          <w:tcPr>
            <w:tcW w:type="dxa" w:w="2197"/>
          </w:tcPr>
          <w:p>
            <w:r>
              <w:rPr>
                <w:rFonts w:ascii="Times New Roman" w:hAnsi="Times New Roman" w:eastAsia="標楷體" w:cs="標楷體"/>
                <w:sz w:val="22"/>
              </w:rPr>
              <w:t>此專案對應設計</w:t>
            </w:r>
          </w:p>
        </w:tc>
        <w:tc>
          <w:tcPr>
            <w:tcW w:type="dxa" w:w="2197"/>
          </w:tcPr>
          <w:p>
            <w:r>
              <w:rPr>
                <w:rFonts w:ascii="Times New Roman" w:hAnsi="Times New Roman" w:eastAsia="標楷體" w:cs="標楷體"/>
                <w:sz w:val="22"/>
              </w:rPr>
              <w:t>達成說明</w:t>
            </w:r>
          </w:p>
        </w:tc>
        <w:tc>
          <w:tcPr>
            <w:tcW w:type="dxa" w:w="2197"/>
          </w:tcPr>
          <w:p>
            <w:r>
              <w:rPr>
                <w:rFonts w:ascii="Times New Roman" w:hAnsi="Times New Roman" w:eastAsia="標楷體" w:cs="標楷體"/>
                <w:sz w:val="22"/>
              </w:rPr>
              <w:t>達成等級</w:t>
            </w:r>
          </w:p>
        </w:tc>
      </w:tr>
      <w:tr>
        <w:tc>
          <w:tcPr>
            <w:tcW w:type="dxa" w:w="2197"/>
          </w:tcPr>
          <w:p>
            <w:r>
              <w:rPr>
                <w:rFonts w:ascii="Times New Roman" w:hAnsi="Times New Roman" w:eastAsia="標楷體" w:cs="標楷體"/>
                <w:sz w:val="22"/>
              </w:rPr>
              <w:t>1. 設計為人工物</w:t>
            </w:r>
          </w:p>
        </w:tc>
        <w:tc>
          <w:tcPr>
            <w:tcW w:type="dxa" w:w="2197"/>
          </w:tcPr>
          <w:p>
            <w:r>
              <w:rPr>
                <w:rFonts w:ascii="Times New Roman" w:hAnsi="Times New Roman" w:eastAsia="標楷體" w:cs="標楷體"/>
                <w:sz w:val="22"/>
              </w:rPr>
              <w:t>響應式 WebApp 原型（Responsive Web Design, RWD，含三路徑優先級 DBH 量測與修正因子模組）+ CarbonCredit.sol 智能合約</w:t>
            </w:r>
          </w:p>
        </w:tc>
        <w:tc>
          <w:tcPr>
            <w:tcW w:type="dxa" w:w="2197"/>
          </w:tcPr>
          <w:p>
            <w:r>
              <w:rPr>
                <w:rFonts w:ascii="Times New Roman" w:hAnsi="Times New Roman" w:eastAsia="標楷體" w:cs="標楷體"/>
                <w:sz w:val="22"/>
              </w:rPr>
              <w:t>三支柱皆以可操作之軟體原型呈現</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2. 問題關聯性</w:t>
            </w:r>
          </w:p>
        </w:tc>
        <w:tc>
          <w:tcPr>
            <w:tcW w:type="dxa" w:w="2197"/>
          </w:tcPr>
          <w:p>
            <w:r>
              <w:rPr>
                <w:rFonts w:ascii="Times New Roman" w:hAnsi="Times New Roman" w:eastAsia="標楷體" w:cs="標楷體"/>
                <w:sz w:val="22"/>
              </w:rPr>
              <w:t>對應小地主缺乏量測工具之技術缺口</w:t>
            </w:r>
          </w:p>
        </w:tc>
        <w:tc>
          <w:tcPr>
            <w:tcW w:type="dxa" w:w="2197"/>
          </w:tcPr>
          <w:p>
            <w:r>
              <w:rPr>
                <w:rFonts w:ascii="Times New Roman" w:hAnsi="Times New Roman" w:eastAsia="標楷體" w:cs="標楷體"/>
                <w:sz w:val="22"/>
              </w:rPr>
              <w:t>三個研究問題 直接源自實務問題</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3. 設計評估</w:t>
            </w:r>
          </w:p>
        </w:tc>
        <w:tc>
          <w:tcPr>
            <w:tcW w:type="dxa" w:w="2197"/>
          </w:tcPr>
          <w:p>
            <w:r>
              <w:rPr>
                <w:rFonts w:ascii="Times New Roman" w:hAnsi="Times New Roman" w:eastAsia="標楷體" w:cs="標楷體"/>
                <w:sz w:val="22"/>
              </w:rPr>
              <w:t>MAE/MAPE/Bootstrap CI + Verra VM0047 §8.5 信賴區間驗算</w:t>
            </w:r>
          </w:p>
        </w:tc>
        <w:tc>
          <w:tcPr>
            <w:tcW w:type="dxa" w:w="2197"/>
          </w:tcPr>
          <w:p>
            <w:r>
              <w:rPr>
                <w:rFonts w:ascii="Times New Roman" w:hAnsi="Times New Roman" w:eastAsia="標楷體" w:cs="標楷體"/>
                <w:sz w:val="22"/>
              </w:rPr>
              <w:t>量化與質性雙軌評估</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4. 研究貢獻</w:t>
            </w:r>
          </w:p>
        </w:tc>
        <w:tc>
          <w:tcPr>
            <w:tcW w:type="dxa" w:w="2197"/>
          </w:tcPr>
          <w:p>
            <w:r>
              <w:rPr>
                <w:rFonts w:ascii="Times New Roman" w:hAnsi="Times New Roman" w:eastAsia="標楷體" w:cs="標楷體"/>
                <w:sz w:val="22"/>
              </w:rPr>
              <w:t>三路徑優先級 DBH 量測 + 修正因子演算法 + 區塊鏈存證整合</w:t>
            </w:r>
          </w:p>
        </w:tc>
        <w:tc>
          <w:tcPr>
            <w:tcW w:type="dxa" w:w="2197"/>
          </w:tcPr>
          <w:p>
            <w:r>
              <w:rPr>
                <w:rFonts w:ascii="Times New Roman" w:hAnsi="Times New Roman" w:eastAsia="標楷體" w:cs="標楷體"/>
                <w:sz w:val="22"/>
              </w:rPr>
              <w:t>三項技術創新整合</w:t>
            </w:r>
          </w:p>
        </w:tc>
        <w:tc>
          <w:tcPr>
            <w:tcW w:type="dxa" w:w="2197"/>
          </w:tcPr>
          <w:p>
            <w:r>
              <w:rPr>
                <w:rFonts w:ascii="Times New Roman" w:hAnsi="Times New Roman" w:eastAsia="標楷體" w:cs="標楷體"/>
                <w:sz w:val="22"/>
              </w:rPr>
              <w:t>中</w:t>
            </w:r>
          </w:p>
        </w:tc>
      </w:tr>
      <w:tr>
        <w:tc>
          <w:tcPr>
            <w:tcW w:type="dxa" w:w="2197"/>
          </w:tcPr>
          <w:p>
            <w:r>
              <w:rPr>
                <w:rFonts w:ascii="Times New Roman" w:hAnsi="Times New Roman" w:eastAsia="標楷體" w:cs="標楷體"/>
                <w:sz w:val="22"/>
              </w:rPr>
              <w:t>5. 研究嚴謹性</w:t>
            </w:r>
          </w:p>
        </w:tc>
        <w:tc>
          <w:tcPr>
            <w:tcW w:type="dxa" w:w="2197"/>
          </w:tcPr>
          <w:p>
            <w:r>
              <w:rPr>
                <w:rFonts w:ascii="Times New Roman" w:hAnsi="Times New Roman" w:eastAsia="標楷體" w:cs="標楷體"/>
                <w:sz w:val="22"/>
              </w:rPr>
              <w:t>Bootstrap 10,000 次重抽樣（適用於 30–40 棵跨小／大樣本臨界區間）；QBFT 共識驗證</w:t>
            </w:r>
          </w:p>
        </w:tc>
        <w:tc>
          <w:tcPr>
            <w:tcW w:type="dxa" w:w="2197"/>
          </w:tcPr>
          <w:p>
            <w:r>
              <w:rPr>
                <w:rFonts w:ascii="Times New Roman" w:hAnsi="Times New Roman" w:eastAsia="標楷體" w:cs="標楷體"/>
                <w:sz w:val="22"/>
              </w:rPr>
              <w:t>統計方法論完整且涵蓋不同樣本量條件</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6. 設計為搜尋過程</w:t>
            </w:r>
          </w:p>
        </w:tc>
        <w:tc>
          <w:tcPr>
            <w:tcW w:type="dxa" w:w="2197"/>
          </w:tcPr>
          <w:p>
            <w:r>
              <w:rPr>
                <w:rFonts w:ascii="Times New Roman" w:hAnsi="Times New Roman" w:eastAsia="標楷體" w:cs="標楷體"/>
                <w:sz w:val="22"/>
              </w:rPr>
              <w:t>三路徑優先級量測 → 修正因子演進 → 存證驗證</w:t>
            </w:r>
          </w:p>
        </w:tc>
        <w:tc>
          <w:tcPr>
            <w:tcW w:type="dxa" w:w="2197"/>
          </w:tcPr>
          <w:p>
            <w:r>
              <w:rPr>
                <w:rFonts w:ascii="Times New Roman" w:hAnsi="Times New Roman" w:eastAsia="標楷體" w:cs="標楷體"/>
                <w:sz w:val="22"/>
              </w:rPr>
              <w:t>DSR 六步驟迭代完整</w:t>
            </w:r>
          </w:p>
        </w:tc>
        <w:tc>
          <w:tcPr>
            <w:tcW w:type="dxa" w:w="2197"/>
          </w:tcPr>
          <w:p>
            <w:r>
              <w:rPr>
                <w:rFonts w:ascii="Times New Roman" w:hAnsi="Times New Roman" w:eastAsia="標楷體" w:cs="標楷體"/>
                <w:sz w:val="22"/>
              </w:rPr>
              <w:t>高</w:t>
            </w:r>
          </w:p>
        </w:tc>
      </w:tr>
      <w:tr>
        <w:tc>
          <w:tcPr>
            <w:tcW w:type="dxa" w:w="2197"/>
          </w:tcPr>
          <w:p>
            <w:r>
              <w:rPr>
                <w:rFonts w:ascii="Times New Roman" w:hAnsi="Times New Roman" w:eastAsia="標楷體" w:cs="標楷體"/>
                <w:sz w:val="22"/>
              </w:rPr>
              <w:t>7. 研究溝通</w:t>
            </w:r>
          </w:p>
        </w:tc>
        <w:tc>
          <w:tcPr>
            <w:tcW w:type="dxa" w:w="2197"/>
          </w:tcPr>
          <w:p>
            <w:r>
              <w:rPr>
                <w:rFonts w:ascii="Times New Roman" w:hAnsi="Times New Roman" w:eastAsia="標楷體" w:cs="標楷體"/>
                <w:sz w:val="22"/>
              </w:rPr>
              <w:t>學術論文 + 操作展示</w:t>
            </w:r>
          </w:p>
        </w:tc>
        <w:tc>
          <w:tcPr>
            <w:tcW w:type="dxa" w:w="2197"/>
          </w:tcPr>
          <w:p>
            <w:r>
              <w:rPr>
                <w:rFonts w:ascii="Times New Roman" w:hAnsi="Times New Roman" w:eastAsia="標楷體" w:cs="標楷體"/>
                <w:sz w:val="22"/>
              </w:rPr>
              <w:t>技術與實務閱聽眾均涵蓋</w:t>
            </w:r>
          </w:p>
        </w:tc>
        <w:tc>
          <w:tcPr>
            <w:tcW w:type="dxa" w:w="2197"/>
          </w:tcPr>
          <w:p>
            <w:r>
              <w:rPr>
                <w:rFonts w:ascii="Times New Roman" w:hAnsi="Times New Roman" w:eastAsia="標楷體" w:cs="標楷體"/>
                <w:sz w:val="22"/>
              </w:rPr>
              <w:t>中</w:t>
            </w:r>
          </w:p>
        </w:tc>
      </w:tr>
      <w:tr>
        <w:tc>
          <w:tcPr>
            <w:tcW w:type="dxa" w:w="2197"/>
          </w:tcPr>
          <w:p>
            <w:r>
              <w:rPr>
                <w:rFonts w:ascii="Times New Roman" w:hAnsi="Times New Roman" w:eastAsia="標楷體" w:cs="標楷體"/>
                <w:sz w:val="22"/>
              </w:rPr>
              <w:t>整體平均（參考門檻 ≥ 4.0）</w:t>
            </w:r>
          </w:p>
        </w:tc>
        <w:tc>
          <w:tcPr>
            <w:tcW w:type="dxa" w:w="2197"/>
          </w:tcPr>
          <w:p>
            <w:r>
              <w:rPr>
                <w:rFonts w:ascii="Times New Roman" w:hAnsi="Times New Roman" w:eastAsia="標楷體" w:cs="標楷體"/>
                <w:sz w:val="22"/>
              </w:rPr>
              <w:t>—</w:t>
            </w:r>
          </w:p>
        </w:tc>
        <w:tc>
          <w:tcPr>
            <w:tcW w:type="dxa" w:w="2197"/>
          </w:tcPr>
          <w:p>
            <w:r>
              <w:rPr>
                <w:rFonts w:ascii="Times New Roman" w:hAnsi="Times New Roman" w:eastAsia="標楷體" w:cs="標楷體"/>
                <w:sz w:val="22"/>
              </w:rPr>
              <w:t>—</w:t>
            </w:r>
          </w:p>
        </w:tc>
        <w:tc>
          <w:tcPr>
            <w:tcW w:type="dxa" w:w="2197"/>
          </w:tcPr>
          <w:p>
            <w:r>
              <w:rPr>
                <w:rFonts w:ascii="Times New Roman" w:hAnsi="Times New Roman" w:eastAsia="標楷體" w:cs="標楷體"/>
                <w:sz w:val="22"/>
              </w:rPr>
              <w:t>中</w:t>
            </w:r>
          </w:p>
        </w:tc>
      </w:tr>
    </w:tbl>
    <w:p>
      <w:pPr>
        <w:pStyle w:val="Heading2"/>
      </w:pPr>
      <w:bookmarkStart w:id="45" w:name="_Toc10044"/>
      <w:r>
        <w:rPr>
          <w:rFonts w:ascii="Times New Roman" w:hAnsi="Times New Roman" w:eastAsia="標楷體" w:cs="標楷體"/>
        </w:rPr>
        <w:t xml:space="preserve">4.5 Hevner 七項準則符合度分析</w:t>
      </w:r>
      <w:bookmarkEnd w:id="45"/>
    </w:p>
    <w:p>
      <w:r>
        <w:rPr>
          <w:rFonts w:ascii="Times New Roman" w:hAnsi="Times New Roman" w:eastAsia="標楷體" w:cs="標楷體"/>
        </w:rPr>
        <w:t xml:space="preserve">Hevner et al.（2004）所提出之 DSR 七項準則為此專案三支柱整合架構提供方法論層級的系統性評估框架；採量化證據映射方法，以此專案各節已取得之精度指標、統計驗證結果與系統效能數據，逐一對應每項準則的達成程度，使評估結論直接依附於可重現的量化依據，而非依賴評分者的主觀判斷。表 4-6 逐項列出七項準則、對應之設計決策，以及支撐達成判斷的量化依據。</w:t>
      </w:r>
    </w:p>
    <w:p>
      <w:r>
        <w:rPr>
          <w:rFonts w:ascii="Times New Roman" w:hAnsi="Times New Roman" w:eastAsia="標楷體" w:cs="標楷體"/>
        </w:rPr>
        <w:t xml:space="preserve">表 4-6　Hevner 七項準則量化映射</w:t>
      </w:r>
    </w:p>
    <w:p>
      <w:r>
        <w:rPr>
          <w:rFonts w:ascii="Times New Roman" w:hAnsi="Times New Roman" w:eastAsia="標楷體" w:cs="標楷體"/>
        </w:rPr>
        <w:t>準則一（設計物件）：三路徑優先級方法（Path 0 OCR 直讀、Path A 參照物比例、Path B 薄透鏡公式）、P4 video-v2 影片前處理演算法、CarbonCredit.sol 智能合約構成此專案三項可交付設計物件。</w:t>
      </w:r>
    </w:p>
    <w:p>
      <w:r>
        <w:rPr>
          <w:rFonts w:ascii="Times New Roman" w:hAnsi="Times New Roman" w:eastAsia="標楷體" w:cs="標楷體"/>
        </w:rPr>
        <w:t>準則二（問題相關性）：Verra VM0047 §8.5 不確定性門檻要求量測具備可稽核的 CI 估計；現有人工捲尺量測無法系統性產生此類統計輸出，此專案直接填補此技術缺口。</w:t>
      </w:r>
    </w:p>
    <w:p>
      <w:r>
        <w:rPr>
          <w:rFonts w:ascii="Times New Roman" w:hAnsi="Times New Roman" w:eastAsia="標楷體" w:cs="標楷體"/>
        </w:rPr>
        <w:t>準則三（設計評估）：DBH 層級 90% CI 半寬佔均值比率 6.3%（門檻 &lt; 100%）、AGB 層級 14.7%（門檻 &lt; 100%）、31 棵通過率 74.2%（23/31）、CF 偏差均值收斂至 ~0% 共同支撐此準則。</w:t>
      </w:r>
    </w:p>
    <w:p>
      <w:r>
        <w:rPr>
          <w:rFonts w:ascii="Times New Roman" w:hAnsi="Times New Roman" w:eastAsia="標楷體" w:cs="標楷體"/>
        </w:rPr>
        <w:t xml:space="preserve">準則四（研究貢獻）：五條流程對照方法論提供影片前處理策略的系統性比較框架；三支柱整合架構（量測—修正—存證）提供可複製的原型；區塊鏈碳匯存證模式提供可稽核的碳權計量路徑。</w:t>
      </w:r>
    </w:p>
    <w:p>
      <w:r>
        <w:rPr>
          <w:rFonts w:ascii="Times New Roman" w:hAnsi="Times New Roman" w:eastAsia="標楷體" w:cs="標楷體"/>
        </w:rPr>
        <w:t xml:space="preserve">準則五（研究嚴謹性）：Bootstrap 10,000 次重抽樣 95% CI、LMM 線性混合效應模型（Restricted Maximum Likelihood, REML 估計）控制樹種隨機效應、QBFT 鏈上—資料庫一致性驗證共同保障研究嚴謹性。</w:t>
      </w:r>
    </w:p>
    <w:p>
      <w:r>
        <w:rPr>
          <w:rFonts w:ascii="Times New Roman" w:hAnsi="Times New Roman" w:eastAsia="標楷體" w:cs="標楷體"/>
        </w:rPr>
        <w:t>準則六（設計搜尋過程）：從單一流程演進至五條流程對照的迭代設計歷程，以實驗結果確認 P4 為最終生產路徑，體現 DSR 以迭代實驗驅動設計決策的核心精神。</w:t>
      </w:r>
    </w:p>
    <w:p>
      <w:r>
        <w:rPr>
          <w:rFonts w:ascii="Times New Roman" w:hAnsi="Times New Roman" w:eastAsia="標楷體" w:cs="標楷體"/>
        </w:rPr>
        <w:t xml:space="preserve">準則七（研究傳播）：本論文、GitHub repository（forest-carbon-measurement）、Journey Showcase（forest-carbon.duckdns.org/journey/）三個管道涵蓋學術與實務受眾。</w:t>
      </w:r>
    </w:p>
    <w:p>
      <w:r>
        <w:rPr>
          <w:rFonts w:ascii="Times New Roman" w:hAnsi="Times New Roman" w:eastAsia="標楷體" w:cs="標楷體"/>
        </w:rPr>
        <w:t>七項準則映射結果顯示，此專案於設計物件、問題相關性、設計評估、研究貢獻、研究嚴謹性、設計搜尋過程與研究傳播七個維度均具備可量化的達成依據；其中準則三（設計評估）由 Verra 雙層次合規驗算與 74.2% 通過率共同支撐，準則五（研究嚴謹性）由 Bootstrap CI 與 LMM 偏差分析加以保障，構成量化驅動的 DSR 方法論合規性評估基礎，並與 4.2–4.4 節 三個評估面向的量化結果形成相互印證的雙層驗證架構。</w:t>
      </w:r>
    </w:p>
    <w:p>
      <w:pPr>
        <w:pStyle w:val="Heading2"/>
      </w:pPr>
      <w:bookmarkStart w:id="46" w:name="_Toc10045"/>
      <w:r>
        <w:rPr>
          <w:rFonts w:ascii="Times New Roman" w:hAnsi="Times New Roman" w:eastAsia="標楷體" w:cs="標楷體"/>
        </w:rPr>
        <w:t xml:space="preserve">4.6 精度分層與成本效益分析</w:t>
      </w:r>
      <w:bookmarkEnd w:id="46"/>
    </w:p>
    <w:p>
      <w:r>
        <w:rPr>
          <w:rFonts w:ascii="Times New Roman" w:hAnsi="Times New Roman" w:eastAsia="標楷體" w:cs="標楷體"/>
        </w:rPr>
        <w:t>以量測精度指標取代使用者主觀可用性問卷，此節從尺寸分層、校準因子敏感度與成本效益三個維度深化精度評估結果的統計結構，提供超越整體通過率的精細化可行性判斷依據。</w:t>
      </w:r>
    </w:p>
    <w:p>
      <w:pPr>
        <w:pStyle w:val="Heading3"/>
      </w:pPr>
      <w:bookmarkStart w:id="47" w:name="_Toc10046"/>
      <w:r>
        <w:rPr>
          <w:rFonts w:ascii="Times New Roman" w:hAnsi="Times New Roman" w:eastAsia="標楷體" w:cs="標楷體"/>
        </w:rPr>
        <w:t xml:space="preserve">4.6.1 尺寸分層精度分析</w:t>
      </w:r>
      <w:bookmarkEnd w:id="47"/>
    </w:p>
    <w:p>
      <w:r>
        <w:rPr>
          <w:rFonts w:ascii="Times New Roman" w:hAnsi="Times New Roman" w:eastAsia="標楷體" w:cs="標楷體"/>
        </w:rPr>
        <w:t>依 manual tape 實測 DBH 將 31 棵有效樣本分為小徑木（DBH &lt; 20 cm）、中徑木（20–40 cm）與大徑木（DBH &gt; 40 cm）三組，分別計算各組通過率（誤差 ≤ 15% 及 ≤ 25%）、MAPE 與偏差均值，以識別系統效能對樹木尺寸的敏感性，並正式量化 4.2 節所觀察到的尺寸效應規模。</w:t>
        <w:br/>
        <w:t>尺寸分層結果如下：</w:t>
        <w:br/>
        <w:t>（1）小徑木（N=4，DBH &lt; 20 cm）：MAPE = 25.7%，≤15% 通過率 = 25%，≤25% 通過率 = 50%，偏差均值 = +4.50 cm（正值表示系統性高估）。小徑木在影像中像素佔比不足，導致估算值偏高，通過率最低，建議未來對此尺寸範圍加強參照物辨識精度。</w:t>
        <w:br/>
        <w:t>（2）中徑木（N=23，20–40 cm）：MAPE = 13.9%，≤15% 通過率 = 61%，≤25% 通過率 = 78%，偏差均值 = +0.47 cm（接近 0，系統在此尺寸範圍最為穩定）。</w:t>
        <w:br/>
        <w:t>（3）大徑木（N=4，DBH &gt; 40 cm）：MAPE = 16.1%，≤15% 通過率 = 50%，≤25% 通過率 = 75%，偏差均值 = −6.95 cm（負值表示系統性低估）。大徑木樹幹寬闊，視角遮蔽效應可能導致 Gemini 低估直徑；樣本數僅 4 棵，結論尚待擴大樣本驗證。</w:t>
        <w:br/>
        <w:t>分層分析確認系統對中徑木範圍（20–40 cm）精度最高，是現階段實務部署最適合的量測目標範疇（見圖 4-5）。</w:t>
      </w:r>
    </w:p>
    <w:p>
      <w:pPr>
        <w:jc w:val="center"/>
      </w:pPr>
      <w:r>
        <w:drawing>
          <wp:inline xmlns:a="http://schemas.openxmlformats.org/drawingml/2006/main" xmlns:pic="http://schemas.openxmlformats.org/drawingml/2006/picture">
            <wp:extent cx="5220000" cy="3373698"/>
            <wp:docPr id="1" name="Picture 1"/>
            <wp:cNvGraphicFramePr>
              <a:graphicFrameLocks noChangeAspect="1"/>
            </wp:cNvGraphicFramePr>
            <a:graphic>
              <a:graphicData uri="http://schemas.openxmlformats.org/drawingml/2006/picture">
                <pic:pic>
                  <pic:nvPicPr>
                    <pic:cNvPr id="0" name="fig41.png"/>
                    <pic:cNvPicPr/>
                  </pic:nvPicPr>
                  <pic:blipFill>
                    <a:blip r:embed="rId22"/>
                    <a:stretch>
                      <a:fillRect/>
                    </a:stretch>
                  </pic:blipFill>
                  <pic:spPr>
                    <a:xfrm>
                      <a:off x="0" y="0"/>
                      <a:ext cx="5220000" cy="3373698"/>
                    </a:xfrm>
                    <a:prstGeom prst="rect"/>
                  </pic:spPr>
                </pic:pic>
              </a:graphicData>
            </a:graphic>
          </wp:inline>
        </w:drawing>
      </w:r>
    </w:p>
    <w:p>
      <w:pPr>
        <w:jc w:val="center"/>
      </w:pPr>
      <w:r>
        <w:t>圖 4-1　各徑級估算精度分布</w:t>
      </w:r>
    </w:p>
    <w:p>
      <w:pPr>
        <w:pStyle w:val="Heading3"/>
      </w:pPr>
      <w:bookmarkStart w:id="48" w:name="_Toc10047"/>
      <w:r>
        <w:rPr>
          <w:rFonts w:ascii="Times New Roman" w:hAnsi="Times New Roman" w:eastAsia="標楷體" w:cs="標楷體"/>
        </w:rPr>
        <w:t xml:space="preserve">4.6.2 校準因子敏感度分析</w:t>
      </w:r>
      <w:bookmarkEnd w:id="48"/>
    </w:p>
    <w:p>
      <w:r>
        <w:rPr>
          <w:rFonts w:ascii="Times New Roman" w:hAnsi="Times New Roman" w:eastAsia="標楷體" w:cs="標楷體"/>
        </w:rPr>
        <w:t>以 CF 值 ×1.00（不施加額外校準因子）至 ×1.20 為掃描區間（步長 ×0.025），計算每個 CF 值對應的 31 棵有效樣本 MAPE、偏差均值與通過率（≤15% 及 ≤25%），可識別通過率最大化的最優 CF 值，並量化 CF 選擇誤差的風險：</w:t>
        <w:br/>
        <w:t>敏感度掃描結果：CF = ×1.000 為最優點（MAPE = 15.6%，bias = +0.01 cm，≤25% 通過率 = 74.2%）；CF 值每增加 ×0.025，MAPE 約上升 1.2–1.9 個百分點；CF = ×1.10 時 MAPE 升至 21.1%，CF = ×1.20 時升至 28.4%（接近 Verra 25% 門檻）。</w:t>
        <w:br/>
        <w:t>此結果確認生產系統（Round 5 動態 CF 整合後）已處於最優校準狀態，CF = ×1.00 即為最佳設定；任何額外的靜態乘法因子均會單調增加 MAPE，不具備改善空間，與 4.3 節 LMM 分析結論一致。</w:t>
      </w:r>
    </w:p>
    <w:p>
      <w:pPr>
        <w:jc w:val="center"/>
      </w:pPr>
      <w:r>
        <w:drawing>
          <wp:inline xmlns:a="http://schemas.openxmlformats.org/drawingml/2006/main" xmlns:pic="http://schemas.openxmlformats.org/drawingml/2006/picture">
            <wp:extent cx="5220000" cy="3462218"/>
            <wp:docPr id="2" name="Picture 2"/>
            <wp:cNvGraphicFramePr>
              <a:graphicFrameLocks noChangeAspect="1"/>
            </wp:cNvGraphicFramePr>
            <a:graphic>
              <a:graphicData uri="http://schemas.openxmlformats.org/drawingml/2006/picture">
                <pic:pic>
                  <pic:nvPicPr>
                    <pic:cNvPr id="0" name="fig42.png"/>
                    <pic:cNvPicPr/>
                  </pic:nvPicPr>
                  <pic:blipFill>
                    <a:blip r:embed="rId23"/>
                    <a:stretch>
                      <a:fillRect/>
                    </a:stretch>
                  </pic:blipFill>
                  <pic:spPr>
                    <a:xfrm>
                      <a:off x="0" y="0"/>
                      <a:ext cx="5220000" cy="3462218"/>
                    </a:xfrm>
                    <a:prstGeom prst="rect"/>
                  </pic:spPr>
                </pic:pic>
              </a:graphicData>
            </a:graphic>
          </wp:inline>
        </w:drawing>
      </w:r>
    </w:p>
    <w:p>
      <w:pPr>
        <w:jc w:val="center"/>
      </w:pPr>
      <w:r>
        <w:t>圖 4-2　校準因子(CF)敏感度掃描</w:t>
      </w:r>
    </w:p>
    <w:p>
      <w:pPr>
        <w:jc w:val="center"/>
      </w:pPr>
      <w:r>
        <w:drawing>
          <wp:inline xmlns:a="http://schemas.openxmlformats.org/drawingml/2006/main" xmlns:pic="http://schemas.openxmlformats.org/drawingml/2006/picture">
            <wp:extent cx="5040000" cy="3708679"/>
            <wp:docPr id="900" name="Picture 900"/>
            <wp:cNvGraphicFramePr>
              <a:graphicFrameLocks noChangeAspect="1"/>
            </wp:cNvGraphicFramePr>
            <a:graphic>
              <a:graphicData uri="http://schemas.openxmlformats.org/drawingml/2006/picture">
                <pic:pic>
                  <pic:nvPicPr>
                    <pic:cNvPr id="0" name="fig4_scatter.vecfig.png"/>
                    <pic:cNvPicPr/>
                  </pic:nvPicPr>
                  <pic:blipFill>
                    <a:blip r:embed="rId24">
                      <a:extLst>
                        <a:ext uri="{96DAC541-7B7A-43D3-8B79-37D633B846F1}">
                          <asvg:svgBlip xmlns:asvg="http://schemas.microsoft.com/office/drawing/2016/SVG/main" r:embed="rId25"/>
                        </a:ext>
                      </a:extLst>
                    </a:blip>
                    <a:stretch>
                      <a:fillRect/>
                    </a:stretch>
                  </pic:blipFill>
                  <pic:spPr>
                    <a:xfrm>
                      <a:off x="0" y="0"/>
                      <a:ext cx="5040000" cy="3708679"/>
                    </a:xfrm>
                    <a:prstGeom prst="rect"/>
                  </pic:spPr>
                </pic:pic>
              </a:graphicData>
            </a:graphic>
          </wp:inline>
        </w:drawing>
      </w:r>
    </w:p>
    <w:p>
      <w:pPr>
        <w:jc w:val="center"/>
      </w:pPr>
      <w:r>
        <w:t xml:space="preserve">圖 4-3　31 棵樣本 AI 估算 DBH 與田野皮尺對照散點圖</w:t>
      </w:r>
    </w:p>
    <w:p>
      <w:pPr>
        <w:jc w:val="center"/>
      </w:pPr>
      <w:r>
        <w:drawing>
          <wp:inline xmlns:a="http://schemas.openxmlformats.org/drawingml/2006/main" xmlns:pic="http://schemas.openxmlformats.org/drawingml/2006/picture">
            <wp:extent cx="5220000" cy="3841132"/>
            <wp:docPr id="901" name="Picture 901"/>
            <wp:cNvGraphicFramePr>
              <a:graphicFrameLocks noChangeAspect="1"/>
            </wp:cNvGraphicFramePr>
            <a:graphic>
              <a:graphicData uri="http://schemas.openxmlformats.org/drawingml/2006/picture">
                <pic:pic>
                  <pic:nvPicPr>
                    <pic:cNvPr id="0" name="thesis_ch4_v53.vecfig.png"/>
                    <pic:cNvPicPr/>
                  </pic:nvPicPr>
                  <pic:blipFill>
                    <a:blip r:embed="rId26">
                      <a:extLst>
                        <a:ext uri="{96DAC541-7B7A-43D3-8B79-37D633B846F1}">
                          <asvg:svgBlip xmlns:asvg="http://schemas.microsoft.com/office/drawing/2016/SVG/main" r:embed="rId27"/>
                        </a:ext>
                      </a:extLst>
                    </a:blip>
                    <a:stretch>
                      <a:fillRect/>
                    </a:stretch>
                  </pic:blipFill>
                  <pic:spPr>
                    <a:xfrm>
                      <a:off x="0" y="0"/>
                      <a:ext cx="5220000" cy="3841132"/>
                    </a:xfrm>
                    <a:prstGeom prst="rect"/>
                  </pic:spPr>
                </pic:pic>
              </a:graphicData>
            </a:graphic>
          </wp:inline>
        </w:drawing>
      </w:r>
    </w:p>
    <w:p>
      <w:pPr>
        <w:jc w:val="center"/>
      </w:pPr>
      <w:r>
        <w:t>圖 4-4　13 棵地面真值樣本之修正因子分布</w:t>
      </w:r>
    </w:p>
    <w:p>
      <w:pPr>
        <w:jc w:val="center"/>
      </w:pPr>
      <w:r>
        <w:drawing>
          <wp:inline xmlns:a="http://schemas.openxmlformats.org/drawingml/2006/main" xmlns:pic="http://schemas.openxmlformats.org/drawingml/2006/picture">
            <wp:extent cx="5220000" cy="3841132"/>
            <wp:docPr id="902" name="Picture 902"/>
            <wp:cNvGraphicFramePr>
              <a:graphicFrameLocks noChangeAspect="1"/>
            </wp:cNvGraphicFramePr>
            <a:graphic>
              <a:graphicData uri="http://schemas.openxmlformats.org/drawingml/2006/picture">
                <pic:pic>
                  <pic:nvPicPr>
                    <pic:cNvPr id="0" name="thesis_ch4_v53.vecfig.png"/>
                    <pic:cNvPicPr/>
                  </pic:nvPicPr>
                  <pic:blipFill>
                    <a:blip r:embed="rId28">
                      <a:extLst>
                        <a:ext uri="{96DAC541-7B7A-43D3-8B79-37D633B846F1}">
                          <asvg:svgBlip xmlns:asvg="http://schemas.microsoft.com/office/drawing/2016/SVG/main" r:embed="rId29"/>
                        </a:ext>
                      </a:extLst>
                    </a:blip>
                    <a:stretch>
                      <a:fillRect/>
                    </a:stretch>
                  </pic:blipFill>
                  <pic:spPr>
                    <a:xfrm>
                      <a:off x="0" y="0"/>
                      <a:ext cx="5220000" cy="3841132"/>
                    </a:xfrm>
                    <a:prstGeom prst="rect"/>
                  </pic:spPr>
                </pic:pic>
              </a:graphicData>
            </a:graphic>
          </wp:inline>
        </w:drawing>
      </w:r>
    </w:p>
    <w:p>
      <w:pPr>
        <w:jc w:val="center"/>
      </w:pPr>
      <w:r>
        <w:t>圖 4-5　各樣本估算平均百分比誤差(MPE)分布</w:t>
      </w:r>
    </w:p>
    <w:p>
      <w:pPr>
        <w:jc w:val="center"/>
      </w:pPr>
      <w:r>
        <w:drawing>
          <wp:inline xmlns:a="http://schemas.openxmlformats.org/drawingml/2006/main" xmlns:pic="http://schemas.openxmlformats.org/drawingml/2006/picture">
            <wp:extent cx="5220000" cy="3841132"/>
            <wp:docPr id="903" name="Picture 903"/>
            <wp:cNvGraphicFramePr>
              <a:graphicFrameLocks noChangeAspect="1"/>
            </wp:cNvGraphicFramePr>
            <a:graphic>
              <a:graphicData uri="http://schemas.openxmlformats.org/drawingml/2006/picture">
                <pic:pic>
                  <pic:nvPicPr>
                    <pic:cNvPr id="0" name="thesis_ch4_v53.vecfig.png"/>
                    <pic:cNvPicPr/>
                  </pic:nvPicPr>
                  <pic:blipFill>
                    <a:blip r:embed="rId30">
                      <a:extLst>
                        <a:ext uri="{96DAC541-7B7A-43D3-8B79-37D633B846F1}">
                          <asvg:svgBlip xmlns:asvg="http://schemas.microsoft.com/office/drawing/2016/SVG/main" r:embed="rId31"/>
                        </a:ext>
                      </a:extLst>
                    </a:blip>
                    <a:stretch>
                      <a:fillRect/>
                    </a:stretch>
                  </pic:blipFill>
                  <pic:spPr>
                    <a:xfrm>
                      <a:off x="0" y="0"/>
                      <a:ext cx="5220000" cy="3841132"/>
                    </a:xfrm>
                    <a:prstGeom prst="rect"/>
                  </pic:spPr>
                </pic:pic>
              </a:graphicData>
            </a:graphic>
          </wp:inline>
        </w:drawing>
      </w:r>
    </w:p>
    <w:p>
      <w:pPr>
        <w:jc w:val="center"/>
      </w:pPr>
      <w:r>
        <w:t>圖 4-6　量測不確定性相對 Verra VM0047 容許紅線之合規性</w:t>
      </w:r>
    </w:p>
    <w:p>
      <w:pPr>
        <w:pStyle w:val="Heading3"/>
      </w:pPr>
      <w:bookmarkStart w:id="49" w:name="_Toc10048"/>
      <w:r>
        <w:rPr>
          <w:rFonts w:ascii="Times New Roman" w:hAnsi="Times New Roman" w:eastAsia="標楷體" w:cs="標楷體"/>
        </w:rPr>
        <w:t xml:space="preserve">4.6.3 成本效益分析</w:t>
      </w:r>
      <w:bookmarkEnd w:id="49"/>
    </w:p>
    <w:p>
      <w:r>
        <w:rPr>
          <w:rFonts w:ascii="Times New Roman" w:hAnsi="Times New Roman" w:eastAsia="標楷體" w:cs="標楷體"/>
        </w:rPr>
        <w:t>以生產版量測 32 棵樣本樹為基準，API 總呼叫次數約 1,050 次，估算成本約 1.5 USD，平均每棵樹的量測 API 成本約 0.047 USD（以 Gemini Pro Vision 標準定價計算）。相較於雇用專業林業技術人員進行人工胸徑量測，此專案的 AI 輔助量測方案在 API 成本層次上具備顯著的邊際成本優勢；惟整體部署成本應同步納入設備配置（智慧型手機）、操作人力與數據傳輸費用。在量測規模擴大至 100 棵以上時，邊際成本優勢可望進一步擴大，使此專案的成本結構在大規模碳匯量測情境下具備顯著競爭力。</w:t>
      </w:r>
    </w:p>
    <w:p>
      <w:pPr>
        <w:pStyle w:val="Heading2"/>
      </w:pPr>
      <w:bookmarkStart w:id="50" w:name="_Toc10049"/>
      <w:r>
        <w:rPr>
          <w:rFonts w:ascii="Times New Roman" w:hAnsi="Times New Roman" w:eastAsia="標楷體" w:cs="標楷體"/>
          <w:b/>
          <w:sz w:val="24"/>
        </w:rPr>
        <w:t>4.7 綜合評估討論</w:t>
      </w:r>
      <w:bookmarkEnd w:id="50"/>
    </w:p>
    <w:p>
      <w:pPr>
        <w:spacing w:after="120"/>
        <w:ind w:firstLine="480"/>
      </w:pPr>
      <w:r>
        <w:rPr>
          <w:rFonts w:ascii="Times New Roman" w:hAnsi="Times New Roman" w:eastAsia="標楷體" w:cs="標楷體"/>
          <w:sz w:val="24"/>
        </w:rPr>
        <w:t>綜合 三個評估面向的量化結果、4.5 之 Hevner 七項準則量化映射與 4.6 之精度分層與成本效益分析，此專案於三項核心技術目標——DBH 估算精度、修正因子自演進與區塊鏈完整性——均達成 預設標準，並於 DSR 方法論層級通過 Hevner 七項準則之系統性檢核，同時於使用者層級獲得 量化指標體系之系統性驗證，構成量化、方法論與使用者三層整合評估之可行性結論。</w:t>
      </w:r>
    </w:p>
    <w:p>
      <w:pPr>
        <w:spacing w:after="120"/>
        <w:ind w:firstLine="480"/>
      </w:pPr>
      <w:r>
        <w:rPr>
          <w:rFonts w:ascii="Times New Roman" w:hAnsi="Times New Roman" w:eastAsia="標楷體" w:cs="標楷體"/>
          <w:sz w:val="24"/>
        </w:rPr>
        <w:t>此專案目前可辨識之主要限制包括：（1）樣本數量受田野條件限制，後續可擴大至 50–100 棵以上、涵蓋多樹種，以強化統計檢定力並提升跨樹種一般化能力；（2）跨設備驗證雖已涵蓋近三年 iOS 與 Android 平台主流機型，惟部分舊型或非主流裝置之 EXIF 焦距欄位可能不完整。此情境下 Path B（薄透鏡公式）將依漸進降級設計回退至 Path 0（OCR 直讀）或 Path A（參照物比例換算），整體可用性視現地參照物與樹幹刻度可見性而定；（3）Hyperledger Besu 私鏈於此專案以三節點 QBFT 測試環境運行，生產環境下之節點擴展性、跨機構治理模型與長期儲存成本，可於後續部署階段進一步設計與評估。</w:t>
      </w:r>
    </w:p>
    <w:p>
      <w:r>
        <w:rPr>
          <w:rFonts w:ascii="Times New Roman" w:hAnsi="Times New Roman" w:eastAsia="標楷體" w:cs="標楷體"/>
        </w:rPr>
        <w:t>實驗驗證完成後，此專案以確定之 P4 路徑對臺東大學知本校區 32 棵樣本樹進行生產版碳匯量測（敏感度分析確認 CF = ×1.00 為最優設定，不施加額外靜態修正乘數；此 ×1.00 係指疊加於動態 CF 之外的額外靜態乘數，Path B 動態自演進 CF 之樹種加權平均約為 ×1.155、靜態全域 CF ≈ ×1.10 僅作為比較實驗之輸入，三者量度與用途不同，完整分工詳見附錄 E 第六至九層），合計碳儲量 約 6,700 公斤；量測過程 API 總呼叫次數約 1,050 次，估算成本約 1.5 USD，展示系統在實務田野規模下的可行部署經濟性，並作為 Verra VM0047 碳權申請之計量依據。</w:t>
      </w:r>
    </w:p>
    <w:p>
      <w:pPr>
        <w:spacing w:after="120"/>
        <w:ind w:firstLine="480"/>
      </w:pPr>
      <w:r>
        <w:rPr>
          <w:rFonts w:ascii="Times New Roman" w:hAnsi="Times New Roman" w:eastAsia="標楷體" w:cs="標楷體"/>
          <w:sz w:val="24"/>
        </w:rPr>
        <w:t>上述限制均已列入第五章未來研究方向，作為此專案後續演進之改進路徑。此專案於現階段之量測精度、自演進修正與存證完整性三項核心可行性已獲得初步支持，可為林業碳匯量測場域之 DSR 取向系統研究提供具參考價值之三支柱原型架構。</w:t>
      </w:r>
    </w:p>
    <w:p/>
    <w:p>
      <w:r>
        <w:rPr>
          <w:rFonts w:ascii="Times New Roman" w:hAnsi="Times New Roman" w:eastAsia="標楷體" w:cs="標楷體"/>
          <w:color w:val="666666"/>
          <w:sz w:val="20"/>
        </w:rPr>
        <w:t>【附錄說明】系統技術部署指南（Docker 環境建置、WSL 安裝步驟、Hyperledger Besu 節點設定細節）詳列於附錄 B；可驗證之公開稽核頁面（blockchain-log.html）提供鏈上事件全紀錄供外部查驗。</w:t>
      </w:r>
    </w:p>
    <w:sectPr w:rsidR="00FC693F" w:rsidRPr="0006063C" w:rsidSect="00034616">
      <w:headerReference w:type="default" r:id="rId9"/>
      <w:footerReference w:type="default" r:id="rId10"/>
      <w:headerReference w:type="even" r:id="rId11"/>
      <w:footerReference w:type="even" r:id="rId12"/>
      <w:headerReference w:type="first" r:id="rId13"/>
      <w:footerReference w:type="first" r:id="rId14"/>
      <w:titlePg/>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B1C2D3E4" w14:textId="B1C2D3E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Even" o:spid="_x0000_s2002"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updateFields w:val="tru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標楷體" w:cs="標楷體"/>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uiPriority w:val="39"/>
    <w:semiHidden/>
    <w:unhideWhenUsed/>
    <w:pPr>
      <w:spacing w:after="0"/>
      <w:tabs>
        <w:tab w:val="right" w:leader="dot" w:pos="9360"/>
      </w:tabs>
    </w:pPr>
    <w:rPr>
      <w:rFonts w:ascii="Times New Roman" w:hAnsi="Times New Roman" w:eastAsia="標楷體" w:cs="標楷體"/>
      <w:sz w:val="24"/>
      <w:szCs w:val="24"/>
    </w:rPr>
  </w:style>
  <w:style w:type="paragraph" w:styleId="TOC2">
    <w:name w:val="toc 2"/>
    <w:basedOn w:val="Normal"/>
    <w:next w:val="Normal"/>
    <w:uiPriority w:val="39"/>
    <w:semiHidden/>
    <w:unhideWhenUsed/>
    <w:pPr>
      <w:spacing w:after="0"/>
      <w:ind w:left="240"/>
      <w:tabs>
        <w:tab w:val="right" w:leader="dot" w:pos="9360"/>
      </w:tabs>
    </w:pPr>
    <w:rPr>
      <w:rFonts w:ascii="Times New Roman" w:hAnsi="Times New Roman" w:eastAsia="標楷體" w:cs="標楷體"/>
      <w:sz w:val="22"/>
      <w:szCs w:val="22"/>
    </w:rPr>
  </w:style>
  <w:style w:type="paragraph" w:styleId="TOC3">
    <w:name w:val="toc 3"/>
    <w:basedOn w:val="Normal"/>
    <w:next w:val="Normal"/>
    <w:uiPriority w:val="39"/>
    <w:semiHidden/>
    <w:unhideWhenUsed/>
    <w:pPr>
      <w:spacing w:after="0"/>
      <w:ind w:left="480"/>
      <w:tabs>
        <w:tab w:val="right" w:leader="dot" w:pos="9360"/>
      </w:tabs>
    </w:pPr>
    <w:rPr>
      <w:rFonts w:ascii="Times New Roman" w:hAnsi="Times New Roman" w:eastAsia="標楷體" w:cs="標楷體"/>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svg"/><Relationship Id="rId26" Type="http://schemas.openxmlformats.org/officeDocument/2006/relationships/image" Target="media/image12.png"/><Relationship Id="rId27" Type="http://schemas.openxmlformats.org/officeDocument/2006/relationships/image" Target="media/vecfig1.svg"/><Relationship Id="rId28" Type="http://schemas.openxmlformats.org/officeDocument/2006/relationships/image" Target="media/image13.png"/><Relationship Id="rId29" Type="http://schemas.openxmlformats.org/officeDocument/2006/relationships/image" Target="media/vecfig2.svg"/><Relationship Id="rId30" Type="http://schemas.openxmlformats.org/officeDocument/2006/relationships/image" Target="media/image14.png"/><Relationship Id="rId31" Type="http://schemas.openxmlformats.org/officeDocument/2006/relationships/image" Target="media/vecfig3.svg"/></Relationships>
</file>

<file path=word/_rels/header1.xml.rels><?xml version='1.0' encoding='UTF-8' standalone='yes'?>
<Relationships xmlns="http://schemas.openxmlformats.org/package/2006/relationships"><Relationship Id="rId1" Type="http://schemas.openxmlformats.org/officeDocument/2006/relationships/image" Target="media/nttu_watermark.png"/></Relationships>
</file>

<file path=word/_rels/header2.xml.rels><?xml version='1.0' encoding='UTF-8' standalone='yes'?>
<Relationships xmlns="http://schemas.openxmlformats.org/package/2006/relationships"><Relationship Id="rId1" Type="http://schemas.openxmlformats.org/officeDocument/2006/relationships/image" Target="media/nttu_watermark.png"/></Relationships>
</file>

<file path=word/_rels/header3.xml.rels><?xml version='1.0' encoding='UTF-8' standalone='yes'?>
<Relationships xmlns="http://schemas.openxmlformats.org/package/2006/relationships"><Relationship Id="rId1" Type="http://schemas.openxmlformats.org/officeDocument/2006/relationships/image" Target="media/nttu_watermark.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