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fig3fig1.svg" ContentType="image/svg+xml"/>
  <Override PartName="/word/media/fig3fig2.svg" ContentType="image/svg+xml"/>
  <Override PartName="/word/media/image13.svg" ContentType="image/svg+xml"/>
  <Override PartName="/word/media/vecfig1.svg" ContentType="image/svg+xml"/>
  <Override PartName="/word/media/vecfig2.svg" ContentType="image/svg+xml"/>
  <Override PartName="/word/media/vecfig3.svg" ContentType="image/svg+xml"/>
  <Override PartName="/word/media/vecfig4.svg" ContentType="image/svg+xml"/>
  <Override PartName="/word/media/vecfig5.svg" ContentType="image/svg+xml"/>
  <Override PartName="/word/media/vecfig6.svg" ContentType="image/svg+xml"/>
  <Override PartName="/word/media/vecfig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bookmarkStart w:id="51" w:name="_Toc10050"/>
      <w:r>
        <w:rPr>
          <w:rFonts w:ascii="Times New Roman" w:hAnsi="Times New Roman" w:eastAsia="標楷體" w:cs="標楷體"/>
          <w:b/>
          <w:sz w:val="28"/>
        </w:rPr>
        <w:t>第五章　結論與未來發展</w:t>
      </w:r>
      <w:bookmarkEnd w:id="51"/>
    </w:p>
    <w:p>
      <w:pPr>
        <w:spacing w:after="120"/>
        <w:ind w:firstLine="480"/>
      </w:pPr>
      <w:r>
        <w:rPr>
          <w:rFonts w:ascii="Times New Roman" w:hAnsi="Times New Roman" w:eastAsia="標楷體" w:cs="標楷體"/>
          <w:sz w:val="24"/>
        </w:rPr>
        <w:t>本章以三個研究問題（RQ）之量化結果為核心，先直接回答各 RQ，再提出政策建議、陳述研究貢獻、承認研究限制，最後展望未來發展方向。回饋機制設計、社區教育推廣與企業私鏈應用之詳細規劃，因字數限制移至附錄 C，供有興趣之讀者延伸參考（附圖 C-1 回饋迭代循環示意圖）。</w:t>
      </w:r>
    </w:p>
    <w:p>
      <w:pPr>
        <w:pStyle w:val="Heading2"/>
      </w:pPr>
      <w:bookmarkStart w:id="52" w:name="_Toc10051"/>
      <w:r>
        <w:rPr>
          <w:rFonts w:ascii="Times New Roman" w:hAnsi="Times New Roman" w:eastAsia="標楷體" w:cs="標楷體"/>
          <w:b/>
          <w:sz w:val="24"/>
        </w:rPr>
        <w:t>5.1　研究成果：三大研究問題回答</w:t>
      </w:r>
      <w:bookmarkEnd w:id="52"/>
    </w:p>
    <w:p>
      <w:pPr>
        <w:spacing w:after="120"/>
        <w:ind w:firstLine="480"/>
      </w:pPr>
      <w:r>
        <w:rPr>
          <w:rFonts w:ascii="Times New Roman" w:hAnsi="Times New Roman" w:eastAsia="標楷體" w:cs="標楷體"/>
          <w:sz w:val="24"/>
        </w:rPr>
        <w:t>此專案以第四章之田野量測實驗與系統評估結果為依據，逐一回答第一章所提出之三個研究問題。</w:t>
      </w:r>
    </w:p>
    <w:p>
      <w:pPr>
        <w:spacing w:after="120"/>
        <w:ind w:firstLine="480"/>
      </w:pPr>
      <w:r>
        <w:rPr>
          <w:rFonts w:ascii="Times New Roman" w:hAnsi="Times New Roman" w:eastAsia="標楷體" w:cs="標楷體"/>
          <w:sz w:val="24"/>
        </w:rPr>
        <w:t>（RQ1）影片胸高直徑估算之精度能否達到 平均絕對百分比誤差 ≤ 25%？田野量測 32 棵跨小／中／大樣本之樣本樹，以參照物比例路徑（Path A）作為主要 AI 估算路徑，與人工識別路徑（Path 0）所得之胸高直徑進行誤差比對。全樣本（n=32）平均絕對誤差為 7.86 cm，平均絕對百分比誤差為 30.07%（Bootstrap 95% 信賴區間：[20.50, 41.73]%），均方根誤差 為 9.99 cm，R² = -0.65；剔除三筆參照物自動識別失敗之離群樣本後（n=29，路徑比較實驗），平均絕對誤差降至 6.37 cm，平均絕對百分比誤差降至 20.86%（Bootstrap 95% 信賴區間：[16.42, 25.39]%），均方根誤差 為 7.64 cm，R² = 0.37。此結果顯示全樣本未達 平均絕對百分比誤差 ≤ 25% 之預設可接受標準，主因為三筆離群樣本（樹種包含 Fraxinus griffithii、Camphora officinarum、Liquidambar formosana）所使用之手持參照物未能被系統自動識別，退而採用預設尺寸推算而導致比例偏差放大；若剔除此三筆離群樣本，剩餘 29 棵（此 n=29 係全樣本 32 棵剔除三筆離群後之子集，屬路徑比較實驗母數，與生產系統有效樣本 n=31 母數不同，二者不可直接混用） 平均絕對百分比誤差為 20.86%，達成 ≤ 25% 之預設標準；生產系統有效分析樣本（n=31，IMG_5804 影片中第二棵樹 55 cm 者未上傳量測分析）MAPE 為 15.6%，Verra 通過率 74.2%（23/31）。</w:t>
      </w:r>
    </w:p>
    <w:p>
      <w:pPr>
        <w:spacing w:after="120"/>
        <w:ind w:firstLine="480"/>
      </w:pPr>
      <w:r>
        <w:rPr>
          <w:rFonts w:ascii="Times New Roman" w:hAnsi="Times New Roman" w:eastAsia="標楷體" w:cs="標楷體"/>
          <w:sz w:val="24"/>
        </w:rPr>
        <w:t>（RQ2）自演進修正因子機制能否有效縮小 Path B 備援路徑之系統性偏差？此專案採用雙重設計進行驗證，以動態機制為主、靜態基準對照為輔，揭示兩者之對比結果。　主要機制為 Path B 動態加權移動平均修正因子——系統於累積 5 筆真實量測值後自動計算樹種特定 CF，近 30 日資料賦予雙倍權重。線性混合模型（LMM）驗證顯示施加動態 CF 後，β₁ = +2.91 cm（95% CI：[+0.92, +4.89]，p = 0.004），ICC = 0.000（樹種間無殘留系統性偏差）；五輪迭代後偏差均值收斂至 +0.01 cm（≈ 0），動態機制已達成設計目標。　靜態基準對照採全域修正因子（global CF）結合留一交叉驗證（LOOCV）——對每一棵樣本以其餘 n-1 棵計算 CF 後回代驗證，全樣本 CF 平均值為 1.04（標準差 0.011），排除離群後為 1.10（標準差 0.010）；施加後 平均絕對百分比誤差由 20.86% 反升至 24.52%（+3.66 個百分點），靜態全域因子反而惡化估算精度。此負面結果說明跨路徑異質性使單一乘數策略失效：Path A 主路徑之誤差屬隨機分散、無需 CF；Path B 備援路徑因薄透鏡公式之結構性低估偏差而需動態修正機制。兩者對比直接驗證了動態自演進設計的必要性，亦為 設計科學研究法之評估提供誠實揭露之有效負面結果。</w:t>
      </w:r>
    </w:p>
    <w:p>
      <w:pPr>
        <w:spacing w:after="120"/>
        <w:ind w:firstLine="480"/>
      </w:pPr>
      <w:r>
        <w:rPr>
          <w:rFonts w:ascii="Times New Roman" w:hAnsi="Times New Roman" w:eastAsia="標楷體" w:cs="標楷體"/>
          <w:sz w:val="24"/>
        </w:rPr>
        <w:t>（RQ3）區塊鏈存證機制能否確保碳匯數據不可篡改且可驗證？此專案以 Hyperledger Besu 企業私鏈（拜占庭容錯共識機制、Chain ID 1337）結合 CarbonCredit.sol 智能合約進行碳匯紀錄存證。32 筆量測資料中，32 筆全數成功上鏈並取得 confirmed 狀態（上鏈成功率 100%，超過 ≥ 95% 門檻）；透過 verify-blockchain.js 比對鏈上雜湊值與本地資料庫紀錄，一致性比率為 100%（32/32）。此結果確認 CarbonCredit.sol 結合 Besu 私鏈能提供具統計意義之不可篡改存證保障，達成 RQ3 之研究目標。</w:t>
      </w:r>
    </w:p>
    <w:p>
      <w:pPr>
        <w:pStyle w:val="Heading2"/>
      </w:pPr>
      <w:bookmarkStart w:id="53" w:name="_Toc10052"/>
      <w:r>
        <w:rPr>
          <w:rFonts w:ascii="Times New Roman" w:hAnsi="Times New Roman" w:eastAsia="標楷體" w:cs="標楷體"/>
          <w:b/>
          <w:sz w:val="24"/>
        </w:rPr>
        <w:t>5.2　政策建議</w:t>
      </w:r>
      <w:bookmarkEnd w:id="53"/>
    </w:p>
    <w:p>
      <w:pPr>
        <w:spacing w:after="120"/>
        <w:ind w:firstLine="480"/>
      </w:pPr>
      <w:r>
        <w:rPr>
          <w:rFonts w:ascii="Times New Roman" w:hAnsi="Times New Roman" w:eastAsia="標楷體" w:cs="標楷體"/>
          <w:sz w:val="24"/>
        </w:rPr>
        <w:t>依據此專案之研究成果，提出以下兩項具體政策建議，以促進電腦視覺碳匯量測系統於台灣林業政策框架內之正式採用。</w:t>
      </w:r>
    </w:p>
    <w:p>
      <w:pPr>
        <w:spacing w:after="120"/>
        <w:ind w:firstLine="480"/>
      </w:pPr>
      <w:r>
        <w:rPr>
          <w:rFonts w:ascii="Times New Roman" w:hAnsi="Times New Roman" w:eastAsia="標楷體" w:cs="標楷體"/>
          <w:sz w:val="24"/>
        </w:rPr>
        <w:t>建議一：將此系統納入農業部林業及自然保育署之碳匯計量輔助工具清單。建議提供標準化 應用程式介面，供官方碳匯登錄平台對接，以影片胸高直徑量測補充部分人力外業調查，降低小規模分散林地之地主參與碳匯計量之進入成本。政策試行期間可聚焦於「企業造林」或「小地主大專業」計畫之配套驗證工具。</w:t>
      </w:r>
    </w:p>
    <w:p>
      <w:pPr>
        <w:spacing w:after="120"/>
        <w:ind w:firstLine="480"/>
      </w:pPr>
      <w:r>
        <w:rPr>
          <w:rFonts w:ascii="Times New Roman" w:hAnsi="Times New Roman" w:eastAsia="標楷體" w:cs="標楷體"/>
          <w:sz w:val="24"/>
        </w:rPr>
        <w:t>建議二：修訂碳匯交易辦法，明確允許區塊鏈存證紀錄作為碳匯計量之輔助佐證文件。建議同步訂定電腦視覺量測方法之 平均絕對百分比誤差容許上限（建議值：≤ 25%），為類似系統建立品質基準與市場進入門檻，鼓勵更多技術研發單位以此標準開發可相互驗證之開放工具。</w:t>
      </w:r>
    </w:p>
    <w:p>
      <w:pPr>
        <w:pStyle w:val="Heading2"/>
      </w:pPr>
      <w:bookmarkStart w:id="54" w:name="_Toc10053"/>
      <w:r>
        <w:rPr>
          <w:rFonts w:ascii="Times New Roman" w:hAnsi="Times New Roman" w:eastAsia="標楷體" w:cs="標楷體"/>
          <w:b/>
          <w:sz w:val="24"/>
        </w:rPr>
        <w:t>5.3　研究貢獻</w:t>
      </w:r>
      <w:bookmarkEnd w:id="54"/>
    </w:p>
    <w:p>
      <w:pPr>
        <w:spacing w:after="120"/>
        <w:ind w:firstLine="480"/>
      </w:pPr>
      <w:r>
        <w:rPr>
          <w:rFonts w:ascii="Times New Roman" w:hAnsi="Times New Roman" w:eastAsia="標楷體" w:cs="標楷體"/>
          <w:sz w:val="24"/>
        </w:rPr>
        <w:t>此專案於學術與實務層面有三項核心貢獻。</w:t>
      </w:r>
    </w:p>
    <w:p>
      <w:pPr>
        <w:spacing w:after="120"/>
        <w:ind w:firstLine="480"/>
      </w:pPr>
      <w:r>
        <w:rPr>
          <w:rFonts w:ascii="Times New Roman" w:hAnsi="Times New Roman" w:eastAsia="標楷體" w:cs="標楷體"/>
          <w:sz w:val="24"/>
        </w:rPr>
        <w:t>第一，技術整合創新。此專案將電腦視覺薄透鏡胸高直徑量測（Path B 備援路徑）、參照物比例量測（Path A 主要路徑）、人工識別基準（Path 0 基準路徑），結合 global CF 修正因子設計與 Hyperledger Besu 企業私鏈存證，整合為三支柱（AI 量測管道—修正因子計算—不可篡改存證）之系統架構，提供從田野量測到鏈上存證之完整自動化數據流程，具備成本低、可攜式且對應 IPCC Tier 2/3 量測規範之特性。</w:t>
      </w:r>
    </w:p>
    <w:p>
      <w:pPr>
        <w:spacing w:after="120"/>
        <w:ind w:firstLine="480"/>
      </w:pPr>
      <w:r>
        <w:rPr>
          <w:rFonts w:ascii="Times New Roman" w:hAnsi="Times New Roman" w:eastAsia="標楷體" w:cs="標楷體"/>
          <w:sz w:val="24"/>
        </w:rPr>
        <w:t>第二，設計科學研究法實踐。此專案完整依循 Peffers 等人（2007）之 設計科學研究法六步驟框架，並以 Hevner 等人（2004）七項準則作為評估基準。研究產出對應 March &amp; Smith（1995）所定義之 實例化（Instantiation）（具體實作系統）成果類型，以量化技術指標（平均絕對百分比誤差、R²、Bootstrap 信賴區間、留一交叉驗證）進行量化技術評估（含 Verra VM0047 §8.5 信賴區間驗算），並誠實揭示 global CF 在此資料情境下之效益限制，為資訊系統設計科學研究提供包含負面結果在內之可複製評估模板。</w:t>
      </w:r>
    </w:p>
    <w:p>
      <w:pPr>
        <w:spacing w:after="120"/>
        <w:ind w:firstLine="480"/>
      </w:pPr>
      <w:r>
        <w:rPr>
          <w:rFonts w:ascii="Times New Roman" w:hAnsi="Times New Roman" w:eastAsia="標楷體" w:cs="標楷體"/>
          <w:sz w:val="24"/>
        </w:rPr>
        <w:t>第三，制度化碳匯管理路徑。此專案提供可對接 NDCs 政策架構之標準化數據流程，並驗證小規模分散林地之中小地主透過智慧型手機即可參與正式碳匯計量之可行性，為台灣林業碳交易制度建設提供具實證依據之設計參考。</w:t>
      </w:r>
    </w:p>
    <w:p>
      <w:pPr>
        <w:pStyle w:val="Heading2"/>
      </w:pPr>
      <w:bookmarkStart w:id="55" w:name="_Toc10054"/>
      <w:r>
        <w:rPr>
          <w:rFonts w:ascii="Times New Roman" w:hAnsi="Times New Roman" w:eastAsia="標楷體" w:cs="標楷體"/>
          <w:b/>
          <w:sz w:val="24"/>
        </w:rPr>
        <w:t>5.4　研究限制</w:t>
      </w:r>
      <w:bookmarkEnd w:id="55"/>
    </w:p>
    <w:p>
      <w:pPr>
        <w:spacing w:after="120"/>
        <w:ind w:firstLine="480"/>
      </w:pPr>
      <w:r>
        <w:rPr>
          <w:rFonts w:ascii="Times New Roman" w:hAnsi="Times New Roman" w:eastAsia="標楷體" w:cs="標楷體"/>
          <w:sz w:val="24"/>
        </w:rPr>
        <w:t>此專案存在六項主要限制。技術層面，田野量測樣本以特定林區為主，共 32 棵跨 14 樹種，樣本樹種、地形與光線條件之多樣性不足，系統精度於不同環境條件下之泛化性尚待擴大樣本驗證。修正因子層面，global CF 平均值接近 1，顯示 Path A 之誤差以隨機分散為主，單一全域比例修正無法有效縮小 平均絕對百分比誤差；後續研究宜探索分樹種、分樹幹粗細區間之分層 CF 設計，或改採非線性回歸／機器學習模型作為修正函數。制度層面，現行測試立基於台灣林業法規框架，不同國家之碳匯認定標準與區塊鏈法律效力差異，可能影響跨國應用時之制度適配性。外部效度層面，再造林產業之研究情境未必能直接推論至能源、製造或交通等其他碳排放來源，後續研究應針對不同產業場域進行獨立驗證。碳儲量估算層面，台灣林業局材積公式需以樹高（H）為輸入參數，惟此系統無法從手機影片直接量測樹高，改採樹種特定 H-D 冪次關係式（H = hdA × DBH^hdB）推估樹高。H-D 關係式本身存在不確定性，且不同林齡、坡地與光照條件下真實樹高可能偏離預設係數，導致碳儲量估算誤差超出 DBH 量測誤差本身；碳儲量數值宜視為估算參考，不宜直接作為正式核證之唯一依據。第六，外部驗證能力受限。此專案全部實驗樣本均來自同一地點（臺東大學知本校區），且樣本共 32 棵、涵蓋 14 樹種，樹種與環境之多樣性仍屬有限，田野評估結論之跨地點、跨樹種泛化能力尚未驗證。Verra VM0047 之大規模認證申請需涵蓋多樣化林地條件，未來研究建議擴展至多縣市、多樹種環境進行外部獨立驗證，以評估系統在不同地形、光照與樹種組成下的精度穩定性。</w:t>
      </w:r>
    </w:p>
    <w:p>
      <w:pPr>
        <w:pStyle w:val="Heading2"/>
      </w:pPr>
      <w:bookmarkStart w:id="56" w:name="_Toc10055"/>
      <w:r>
        <w:rPr>
          <w:rFonts w:ascii="Times New Roman" w:hAnsi="Times New Roman" w:eastAsia="標楷體" w:cs="標楷體"/>
          <w:b/>
          <w:sz w:val="24"/>
        </w:rPr>
        <w:t>5.5　未來發展</w:t>
      </w:r>
      <w:bookmarkEnd w:id="56"/>
    </w:p>
    <w:p>
      <w:pPr>
        <w:spacing w:after="120"/>
        <w:ind w:firstLine="480"/>
      </w:pPr>
      <w:r>
        <w:rPr>
          <w:rFonts w:ascii="Times New Roman" w:hAnsi="Times New Roman" w:eastAsia="標楷體" w:cs="標楷體"/>
          <w:sz w:val="24"/>
        </w:rPr>
        <w:t>未來發展聚焦四個方向。首先，擴展田野量測樣本至跨縣市、多樹種林區，目標累積至 100 棵以上樣本以提升統計穩健性，並針對手持參照物識別失敗之離群樣本問題，導入更穩健之參照物偵測模型（如 fine-tuned YOLOv8 或加入 ArUco 標記輔助）以降低自動識別失敗率。其次，發展分層修正因子設計，依樹種、樹幹粗細區間進行條件式 CF 計算，並導入非線性回歸或輕量機器學習模型作為修正函數，改善 global CF 於隨機誤差場景下之效益限制。第三，與農業部林業及自然保育署之碳匯登錄平台建立 應用程式介面對接，完成正式合規流程之端對端測試，為政策採用提供技術前提。第四，探索聯盟鏈架構，讓林業企業、碳交易所與政策監管機構共用同一鏈上帳本，於確保各方數據主權之前提下提升跨機構透明度，並以代幣化機制降低小規模林地地主進入碳市場之最低參與門檻。</w:t>
      </w:r>
    </w:p>
    <w:p>
      <w:pPr>
        <w:pStyle w:val="Heading2"/>
      </w:pPr>
      <w:bookmarkStart w:id="57" w:name="_Toc10056"/>
      <w:r>
        <w:rPr>
          <w:rFonts w:ascii="Times New Roman" w:hAnsi="Times New Roman" w:eastAsia="標楷體" w:cs="標楷體"/>
        </w:rPr>
        <w:t xml:space="preserve">5.6　臺灣首件 Verra 林業碳匯認證的可行路徑</w:t>
      </w:r>
      <w:bookmarkEnd w:id="57"/>
    </w:p>
    <w:p>
      <w:pPr>
        <w:pStyle w:val="Heading3"/>
      </w:pPr>
      <w:bookmarkStart w:id="58" w:name="_Toc10057"/>
      <w:r>
        <w:rPr>
          <w:rFonts w:ascii="Times New Roman" w:hAnsi="Times New Roman" w:eastAsia="標楷體" w:cs="標楷體"/>
        </w:rPr>
        <w:t xml:space="preserve">5.6.1　先行者困境與三條破局路徑</w:t>
      </w:r>
      <w:bookmarkEnd w:id="58"/>
    </w:p>
    <w:p>
      <w:pPr>
        <w:spacing w:after="120"/>
        <w:ind w:firstLine="480"/>
      </w:pPr>
      <w:r>
        <w:rPr>
          <w:rFonts w:ascii="Times New Roman" w:hAnsi="Times New Roman" w:eastAsia="標楷體" w:cs="標楷體"/>
        </w:rPr>
        <w:t xml:space="preserve">臺灣迄今缺乏 Verra 林業碳匯認證成功案例，並非由於技術或法律上存在不可克服的障礙，而是源於第一章所分析的五項相互強化障礙共同形成了典型的先行者困境：在尚無成功案例可供參照的條件下，企業因法律認定不明確而選擇觀望，政府在缺乏具體申請經驗的前提下難以提供明確的政策解釋，形成「無案例→無認定→無企業→無案例」的自我鎖定循環。</w:t>
      </w:r>
    </w:p>
    <w:p>
      <w:pPr>
        <w:spacing w:after="120"/>
        <w:ind w:firstLine="480"/>
      </w:pPr>
      <w:r>
        <w:rPr>
          <w:rFonts w:ascii="Times New Roman" w:hAnsi="Times New Roman" w:eastAsia="標楷體" w:cs="標楷體"/>
        </w:rPr>
        <w:t xml:space="preserve">打破此循環，可歸納出三條結構性路徑。路徑一為政府主導申請：由農業部以公有人造林地為對象，以公務預算承擔認證費用，藉由政府申請人身分同步化解法律認定不明確的問題。此路徑的優勢在於土地資格相對容易符合、費用障礙可由公務預算吸收，限制在於政府機關推動跨部會的創新申請程序通常需要較長的政策醞釀期。</w:t>
      </w:r>
    </w:p>
    <w:p>
      <w:pPr>
        <w:spacing w:after="120"/>
        <w:ind w:firstLine="480"/>
      </w:pPr>
      <w:r>
        <w:rPr>
          <w:rFonts w:ascii="Times New Roman" w:hAnsi="Times New Roman" w:eastAsia="標楷體" w:cs="標楷體"/>
        </w:rPr>
        <w:t xml:space="preserve">路徑二為大型企業承擔先驅成本：台電、台積電等具有大量碳抵換需求的企業，在企業社會責任與品牌考量下，有動機以超過短期財務回收的費用承擔首次申請，換取「全臺首張 Verra 林業碳信用」的聲譽效益。此路徑的優勢在於企業行動力強，限制在於法律認定不明確仍構成企業法律部門的主要顧慮，使決策週期延長。</w:t>
      </w:r>
    </w:p>
    <w:p>
      <w:pPr>
        <w:spacing w:after="120"/>
        <w:ind w:firstLine="480"/>
      </w:pPr>
      <w:r>
        <w:rPr>
          <w:rFonts w:ascii="Times New Roman" w:hAnsi="Times New Roman" w:eastAsia="標楷體" w:cs="標楷體"/>
        </w:rPr>
        <w:t xml:space="preserve">路徑三為學術機構或基金會主導示範計畫：以建立先例、催化政策為明確目標，組織不以短期財務回收為前提的申請聯盟，結合學術研究、非政府組織與企業贊助，以一件具體可見的成功案例，同時解決法律認定觀望與技術可信度兩項課題。此路徑繞開政府行政節奏的限制，亦為企業提供以贊助而非直接申請的參與形式，降低在法律不確定條件下的合規風險，在現階段的制度環境中具備最高的可行性。</w:t>
      </w:r>
    </w:p>
    <w:p>
      <w:pPr>
        <w:pStyle w:val="Heading3"/>
      </w:pPr>
      <w:bookmarkStart w:id="59" w:name="_Toc10058"/>
      <w:r>
        <w:rPr>
          <w:rFonts w:ascii="Times New Roman" w:hAnsi="Times New Roman" w:eastAsia="標楷體" w:cs="標楷體"/>
        </w:rPr>
        <w:t xml:space="preserve">5.6.2　示範計畫路徑的具體形貌</w:t>
      </w:r>
      <w:bookmarkEnd w:id="59"/>
    </w:p>
    <w:p>
      <w:pPr>
        <w:spacing w:after="120"/>
        <w:ind w:firstLine="480"/>
      </w:pPr>
      <w:r>
        <w:rPr>
          <w:rFonts w:ascii="Times New Roman" w:hAnsi="Times New Roman" w:eastAsia="標楷體" w:cs="標楷體"/>
        </w:rPr>
        <w:t xml:space="preserve">以示範計畫為核心的路徑三，在落地執行上需要同時具備四項要素。</w:t>
      </w:r>
    </w:p>
    <w:p>
      <w:pPr>
        <w:spacing w:after="120"/>
        <w:ind w:firstLine="480"/>
      </w:pPr>
      <w:r>
        <w:rPr>
          <w:rFonts w:ascii="Times New Roman" w:hAnsi="Times New Roman" w:eastAsia="標楷體" w:cs="標楷體"/>
        </w:rPr>
        <w:t xml:space="preserve">其一，合格的林地。符合 VM0047 資格要求的 22 年以下政府公有人造林地，由於土地持有方為公務機關，取得使用授權的行政摩擦較私有地主為低，亦較易提供土地歷史紀錄以證明造林前非林地的條件。</w:t>
      </w:r>
    </w:p>
    <w:p>
      <w:pPr>
        <w:spacing w:after="120"/>
        <w:ind w:firstLine="480"/>
      </w:pPr>
      <w:r>
        <w:rPr>
          <w:rFonts w:ascii="Times New Roman" w:hAnsi="Times New Roman" w:eastAsia="標楷體" w:cs="標楷體"/>
        </w:rPr>
        <w:t>其二，量測成本可控。此專案所開發之手機影像量測系統，可將逐棵胸高直徑（Diameter at Breast Height, DBH）量測成本，從傳統器械量測所需的專業人員逐棵作業成本大幅壓縮，使示範計畫的量測預算在中小型機構可自行負擔的水準內完成。</w:t>
      </w:r>
    </w:p>
    <w:p>
      <w:pPr>
        <w:spacing w:after="120"/>
        <w:ind w:firstLine="480"/>
      </w:pPr>
      <w:r>
        <w:rPr>
          <w:rFonts w:ascii="Times New Roman" w:hAnsi="Times New Roman" w:eastAsia="標楷體" w:cs="標楷體"/>
        </w:rPr>
        <w:t xml:space="preserve">其三，認證費用分攤。事前查驗與文件撰寫費用（超過新臺幣 150 萬元）可透過企業贊助機制分攤：企業以贊助費用換取聯合署名與成果共同發布的公關機會，在不直接承擔申請主體法律責任的條件下，參與臺灣首件 Verra 認證的歷史紀錄。</w:t>
      </w:r>
    </w:p>
    <w:p>
      <w:pPr>
        <w:spacing w:after="120"/>
        <w:ind w:firstLine="480"/>
      </w:pPr>
      <w:r>
        <w:rPr>
          <w:rFonts w:ascii="Times New Roman" w:hAnsi="Times New Roman" w:eastAsia="標楷體" w:cs="標楷體"/>
        </w:rPr>
        <w:t xml:space="preserve">其四，法律預諮詢。於申請準備期間向環境部提出初步意見諮詢，釐清「境外機構核發、本土林地產生之碳信用」的認定立場，以降低申請主體在碳信用核發後的法律不確定性。</w:t>
      </w:r>
    </w:p>
    <w:p>
      <w:pPr>
        <w:pStyle w:val="Heading3"/>
      </w:pPr>
      <w:bookmarkStart w:id="60" w:name="_Toc10059"/>
      <w:r>
        <w:rPr>
          <w:rFonts w:ascii="Times New Roman" w:hAnsi="Times New Roman" w:eastAsia="標楷體" w:cs="標楷體"/>
        </w:rPr>
        <w:t xml:space="preserve">5.6.3　第一個案例的敘事框架</w:t>
      </w:r>
      <w:bookmarkEnd w:id="60"/>
    </w:p>
    <w:p>
      <w:pPr>
        <w:spacing w:after="120"/>
        <w:ind w:firstLine="480"/>
      </w:pPr>
      <w:r>
        <w:rPr>
          <w:rFonts w:ascii="Times New Roman" w:hAnsi="Times New Roman" w:eastAsia="標楷體" w:cs="標楷體"/>
        </w:rPr>
        <w:t xml:space="preserve">達成首件認證，在技術與法律的準備之外，還需要一個能讓各方願意投入的敘事框架——一個可以同時對媒體、政策制定者與後續潛在申請者說清楚的故事。</w:t>
      </w:r>
    </w:p>
    <w:p>
      <w:pPr>
        <w:spacing w:after="120"/>
        <w:ind w:firstLine="480"/>
      </w:pPr>
      <w:r>
        <w:rPr>
          <w:rFonts w:ascii="Times New Roman" w:hAnsi="Times New Roman" w:eastAsia="標楷體" w:cs="標楷體"/>
        </w:rPr>
        <w:t>以示範計畫路徑為基礎，臺灣首件 Verra 林業碳匯認證的敘事框架，可以完整表述為：「由研究機構與在地基金會聯合申請，以手機影像結合人工智慧模型估算胸高直徑、以區塊鏈私有鏈進行不可竄改之量測存證，符合 Verra VM0047 §8.5 國際量測精度標準，完成臺灣第一件林業碳匯申請從量測到碳信用核發的完整流程。」</w:t>
      </w:r>
    </w:p>
    <w:p>
      <w:pPr>
        <w:spacing w:after="120"/>
        <w:ind w:firstLine="480"/>
      </w:pPr>
      <w:r>
        <w:rPr>
          <w:rFonts w:ascii="Times New Roman" w:hAnsi="Times New Roman" w:eastAsia="標楷體" w:cs="標楷體"/>
        </w:rPr>
        <w:t xml:space="preserve">此敘事框架同時涵蓋四個對不同受眾有意義的層次：對媒體，此為人工智慧與區塊鏈技術應用於環境保育的具體實例；對政府，此示範了《氣候變遷因應法》的制度框架可以與國際自願碳市場認證機構接軌；對後續潛在申請者，此提供了完整可參照的申請先例，使後續申請者無需再次承擔先行者的不確定性成本；對企業贊助方，此提供了可具體引用的企業社會責任宣告，結合科技創新與林業碳匯的雙重論述。</w:t>
      </w:r>
    </w:p>
    <w:p>
      <w:pPr>
        <w:spacing w:after="120"/>
        <w:ind w:firstLine="480"/>
      </w:pPr>
      <w:r>
        <w:rPr>
          <w:rFonts w:ascii="Times New Roman" w:hAnsi="Times New Roman" w:eastAsia="標楷體" w:cs="標楷體"/>
        </w:rPr>
        <w:t>此專案系統在此敘事框架中扮演的關鍵角色，在於使上述故事在技術層面具備可信度與可重複性。任何後續申請者，皆可沿用相同的手機影像量測方法，以大幅低於傳統器械量測的成本達到符合 VM0047 國際標準的量測精度，並透過區塊鏈存證提供不可竄改的第三方可驗證紀錄，使每一件後續申請案在量測環節上都具有可獨立驗證的信任基礎。</w:t>
      </w:r>
    </w:p>
    <w:sectPr w:rsidR="00FC693F" w:rsidRPr="0006063C" w:rsidSect="00034616">
      <w:headerReference w:type="default" r:id="rId9"/>
      <w:footerReference w:type="default" r:id="rId10"/>
      <w:headerReference w:type="even" r:id="rId11"/>
      <w:footerReference w:type="even" r:id="rId12"/>
      <w:headerReference w:type="first" r:id="rId13"/>
      <w:footerReference w:type="first" r:id="rId14"/>
      <w:titlePg/>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B1C2D3E4" w14:textId="B1C2D3E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Even" o:spid="_x0000_s2002"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updateFields w:val="tru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標楷體" w:cs="標楷體"/>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uiPriority w:val="39"/>
    <w:semiHidden/>
    <w:unhideWhenUsed/>
    <w:pPr>
      <w:spacing w:after="0"/>
      <w:tabs>
        <w:tab w:val="right" w:leader="dot" w:pos="9360"/>
      </w:tabs>
    </w:pPr>
    <w:rPr>
      <w:rFonts w:ascii="Times New Roman" w:hAnsi="Times New Roman" w:eastAsia="標楷體" w:cs="標楷體"/>
      <w:sz w:val="24"/>
      <w:szCs w:val="24"/>
    </w:rPr>
  </w:style>
  <w:style w:type="paragraph" w:styleId="TOC2">
    <w:name w:val="toc 2"/>
    <w:basedOn w:val="Normal"/>
    <w:next w:val="Normal"/>
    <w:uiPriority w:val="39"/>
    <w:semiHidden/>
    <w:unhideWhenUsed/>
    <w:pPr>
      <w:spacing w:after="0"/>
      <w:ind w:left="240"/>
      <w:tabs>
        <w:tab w:val="right" w:leader="dot" w:pos="9360"/>
      </w:tabs>
    </w:pPr>
    <w:rPr>
      <w:rFonts w:ascii="Times New Roman" w:hAnsi="Times New Roman" w:eastAsia="標楷體" w:cs="標楷體"/>
      <w:sz w:val="22"/>
      <w:szCs w:val="22"/>
    </w:rPr>
  </w:style>
  <w:style w:type="paragraph" w:styleId="TOC3">
    <w:name w:val="toc 3"/>
    <w:basedOn w:val="Normal"/>
    <w:next w:val="Normal"/>
    <w:uiPriority w:val="39"/>
    <w:semiHidden/>
    <w:unhideWhenUsed/>
    <w:pPr>
      <w:spacing w:after="0"/>
      <w:ind w:left="480"/>
      <w:tabs>
        <w:tab w:val="right" w:leader="dot" w:pos="9360"/>
      </w:tabs>
    </w:pPr>
    <w:rPr>
      <w:rFonts w:ascii="Times New Roman" w:hAnsi="Times New Roman" w:eastAsia="標楷體" w:cs="標楷體"/>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fig3fig1.png"/><Relationship Id="rId27" Type="http://schemas.openxmlformats.org/officeDocument/2006/relationships/image" Target="media/fig3fig1.svg"/><Relationship Id="rId28" Type="http://schemas.openxmlformats.org/officeDocument/2006/relationships/image" Target="media/fig3fig2.png"/><Relationship Id="rId29" Type="http://schemas.openxmlformats.org/officeDocument/2006/relationships/image" Target="media/fig3fig2.svg"/><Relationship Id="rId30" Type="http://schemas.openxmlformats.org/officeDocument/2006/relationships/image" Target="media/image12.png"/><Relationship Id="rId31" Type="http://schemas.openxmlformats.org/officeDocument/2006/relationships/image" Target="media/image13.svg"/><Relationship Id="rId32" Type="http://schemas.openxmlformats.org/officeDocument/2006/relationships/image" Target="media/image14.png"/><Relationship Id="rId33" Type="http://schemas.openxmlformats.org/officeDocument/2006/relationships/image" Target="media/vecfig1.svg"/><Relationship Id="rId34" Type="http://schemas.openxmlformats.org/officeDocument/2006/relationships/image" Target="media/image15.png"/><Relationship Id="rId35" Type="http://schemas.openxmlformats.org/officeDocument/2006/relationships/image" Target="media/vecfig2.svg"/><Relationship Id="rId36" Type="http://schemas.openxmlformats.org/officeDocument/2006/relationships/image" Target="media/image16.png"/><Relationship Id="rId37" Type="http://schemas.openxmlformats.org/officeDocument/2006/relationships/image" Target="media/vecfig3.svg"/><Relationship Id="rId38" Type="http://schemas.openxmlformats.org/officeDocument/2006/relationships/image" Target="media/image17.png"/><Relationship Id="rId39" Type="http://schemas.openxmlformats.org/officeDocument/2006/relationships/image" Target="media/vecfig4.svg"/><Relationship Id="rId40" Type="http://schemas.openxmlformats.org/officeDocument/2006/relationships/image" Target="media/image18.png"/><Relationship Id="rId41" Type="http://schemas.openxmlformats.org/officeDocument/2006/relationships/image" Target="media/vecfig5.svg"/><Relationship Id="rId42" Type="http://schemas.openxmlformats.org/officeDocument/2006/relationships/image" Target="media/image19.png"/><Relationship Id="rId43" Type="http://schemas.openxmlformats.org/officeDocument/2006/relationships/image" Target="media/vecfig6.svg"/><Relationship Id="rId44" Type="http://schemas.openxmlformats.org/officeDocument/2006/relationships/image" Target="media/image20.png"/><Relationship Id="rId45" Type="http://schemas.openxmlformats.org/officeDocument/2006/relationships/image" Target="media/vecfig7.svg"/></Relationships>
</file>

<file path=word/_rels/header1.xml.rels><?xml version='1.0' encoding='UTF-8' standalone='yes'?>
<Relationships xmlns="http://schemas.openxmlformats.org/package/2006/relationships"><Relationship Id="rId1" Type="http://schemas.openxmlformats.org/officeDocument/2006/relationships/image" Target="media/nttu_watermark.png"/></Relationships>
</file>

<file path=word/_rels/header2.xml.rels><?xml version='1.0' encoding='UTF-8' standalone='yes'?>
<Relationships xmlns="http://schemas.openxmlformats.org/package/2006/relationships"><Relationship Id="rId1" Type="http://schemas.openxmlformats.org/officeDocument/2006/relationships/image" Target="media/nttu_watermark.png"/></Relationships>
</file>

<file path=word/_rels/header3.xml.rels><?xml version='1.0' encoding='UTF-8' standalone='yes'?>
<Relationships xmlns="http://schemas.openxmlformats.org/package/2006/relationships"><Relationship Id="rId1" Type="http://schemas.openxmlformats.org/officeDocument/2006/relationships/image" Target="media/nttu_watermark.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